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Override PartName="/word/media/image12.png" ContentType="image/png"/>
  <Override PartName="/word/media/image13.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Documento"/>
        <w:tabs>
          <w:tab w:val="clear" w:pos="708"/>
          <w:tab w:val="left" w:pos="3036" w:leader="none"/>
        </w:tabs>
        <w:ind w:right="566" w:hanging="0"/>
        <w:rPr>
          <w:sz w:val="60"/>
          <w:szCs w:val="60"/>
        </w:rPr>
      </w:pPr>
      <w:r>
        <w:rPr>
          <w:sz w:val="60"/>
          <w:szCs w:val="60"/>
        </w:rPr>
        <mc:AlternateContent>
          <mc:Choice Requires="wps">
            <w:drawing>
              <wp:anchor behindDoc="0" distT="0" distB="4445" distL="0" distR="0" simplePos="0" locked="0" layoutInCell="0" allowOverlap="1" relativeHeight="2" wp14:anchorId="6D7F1B5D">
                <wp:simplePos x="0" y="0"/>
                <wp:positionH relativeFrom="column">
                  <wp:posOffset>-1780540</wp:posOffset>
                </wp:positionH>
                <wp:positionV relativeFrom="page">
                  <wp:posOffset>2147570</wp:posOffset>
                </wp:positionV>
                <wp:extent cx="1791970" cy="262890"/>
                <wp:effectExtent l="0" t="0" r="0" b="4445"/>
                <wp:wrapNone/>
                <wp:docPr id="1" name="Casella di testo 9"/>
                <a:graphic xmlns:a="http://schemas.openxmlformats.org/drawingml/2006/main">
                  <a:graphicData uri="http://schemas.microsoft.com/office/word/2010/wordprocessingShape">
                    <wps:wsp>
                      <wps:cNvSpPr/>
                      <wps:spPr>
                        <a:xfrm>
                          <a:off x="0" y="0"/>
                          <a:ext cx="1792080" cy="262800"/>
                        </a:xfrm>
                        <a:prstGeom prst="rect">
                          <a:avLst/>
                        </a:prstGeom>
                        <a:solidFill>
                          <a:schemeClr val="bg1"/>
                        </a:solidFill>
                        <a:ln w="6350">
                          <a:noFill/>
                        </a:ln>
                      </wps:spPr>
                      <wps:style>
                        <a:lnRef idx="0"/>
                        <a:fillRef idx="0"/>
                        <a:effectRef idx="0"/>
                        <a:fontRef idx="minor"/>
                      </wps:style>
                      <wps:txbx>
                        <w:txbxContent>
                          <w:p>
                            <w:pPr>
                              <w:pStyle w:val="TipoDocumento"/>
                              <w:spacing w:lineRule="auto" w:line="240" w:before="0" w:after="200"/>
                              <w:rPr>
                                <w:color w:val="000000"/>
                              </w:rPr>
                            </w:pPr>
                            <w:r>
                              <w:rPr>
                                <w:color w:val="000000"/>
                              </w:rPr>
                            </w:r>
                          </w:p>
                        </w:txbxContent>
                      </wps:txbx>
                      <wps:bodyPr anchor="ctr">
                        <a:prstTxWarp prst="textNoShape"/>
                        <a:noAutofit/>
                      </wps:bodyPr>
                    </wps:wsp>
                  </a:graphicData>
                </a:graphic>
              </wp:anchor>
            </w:drawing>
          </mc:Choice>
          <mc:Fallback>
            <w:pict>
              <v:rect id="shape_0" ID="Casella di testo 9" path="m0,0l-2147483645,0l-2147483645,-2147483646l0,-2147483646xe" fillcolor="white" stroked="f" o:allowincell="f" style="position:absolute;margin-left:-140.2pt;margin-top:169.1pt;width:141.05pt;height:20.65pt;mso-wrap-style:none;v-text-anchor:middle;mso-position-vertical-relative:page" wp14:anchorId="6D7F1B5D">
                <v:fill o:detectmouseclick="t" type="solid" color2="black"/>
                <v:stroke color="#3465a4" weight="6480" joinstyle="round" endcap="flat"/>
                <v:textbox>
                  <w:txbxContent>
                    <w:p>
                      <w:pPr>
                        <w:pStyle w:val="TipoDocumento"/>
                        <w:spacing w:lineRule="auto" w:line="240" w:before="0" w:after="200"/>
                        <w:rPr>
                          <w:color w:val="000000"/>
                        </w:rPr>
                      </w:pPr>
                      <w:r>
                        <w:rPr>
                          <w:color w:val="000000"/>
                        </w:rPr>
                      </w:r>
                    </w:p>
                  </w:txbxContent>
                </v:textbox>
                <w10:wrap type="none"/>
              </v:rect>
            </w:pict>
          </mc:Fallback>
        </mc:AlternateContent>
      </w:r>
    </w:p>
    <w:p>
      <w:pPr>
        <w:pStyle w:val="Normal"/>
        <w:rPr>
          <w:color w:val="auto"/>
        </w:rPr>
      </w:pPr>
      <w:r>
        <w:rPr>
          <w:color w:val="auto"/>
        </w:rPr>
      </w:r>
    </w:p>
    <w:p>
      <w:pPr>
        <w:pStyle w:val="Normal"/>
        <w:rPr>
          <w:color w:val="auto"/>
        </w:rPr>
      </w:pPr>
      <w:r>
        <w:rPr>
          <w:color w:val="auto"/>
        </w:rPr>
      </w:r>
    </w:p>
    <w:p>
      <w:pPr>
        <w:pStyle w:val="Normal"/>
        <w:widowControl w:val="false"/>
        <w:overflowPunct w:val="true"/>
        <w:spacing w:lineRule="auto" w:line="240" w:before="0" w:after="240"/>
        <w:ind w:hanging="2"/>
        <w:jc w:val="center"/>
        <w:rPr>
          <w:rFonts w:ascii="Arial" w:hAnsi="Arial" w:eastAsia="Times New Roman" w:cs="Arial"/>
          <w:b/>
          <w:b/>
          <w:smallCaps/>
          <w:color w:val="auto"/>
          <w:sz w:val="44"/>
          <w:szCs w:val="20"/>
          <w:lang w:eastAsia="it-IT"/>
        </w:rPr>
      </w:pPr>
      <w:r>
        <w:rPr>
          <w:rFonts w:eastAsia="Cambria" w:cs="Arial" w:ascii="Arial" w:hAnsi="Arial"/>
          <w:i/>
          <w:color w:val="000000"/>
          <w:sz w:val="28"/>
          <w:szCs w:val="28"/>
        </w:rPr>
        <w:t xml:space="preserve">     </w:t>
      </w:r>
      <w:r>
        <w:rPr>
          <w:rFonts w:eastAsia="Times New Roman" w:cs="Arial" w:ascii="Arial" w:hAnsi="Arial"/>
          <w:b/>
          <w:smallCaps/>
          <w:color w:val="auto"/>
          <w:sz w:val="44"/>
          <w:szCs w:val="20"/>
          <w:lang w:eastAsia="it-IT"/>
        </w:rPr>
        <w:t>Comune di Trezzano sul Naviglio</w:t>
      </w:r>
    </w:p>
    <w:p>
      <w:pPr>
        <w:pStyle w:val="Normal"/>
        <w:widowControl w:val="false"/>
        <w:overflowPunct w:val="true"/>
        <w:spacing w:lineRule="auto" w:line="240" w:before="0" w:after="120"/>
        <w:jc w:val="center"/>
        <w:rPr>
          <w:rFonts w:ascii="Arial" w:hAnsi="Arial" w:eastAsia="Times New Roman" w:cs="Arial"/>
          <w:color w:val="auto"/>
          <w:szCs w:val="20"/>
          <w:lang w:eastAsia="it-IT"/>
        </w:rPr>
      </w:pPr>
      <w:r>
        <w:rPr>
          <w:rFonts w:eastAsia="Times New Roman" w:cs="Arial" w:ascii="Arial" w:hAnsi="Arial"/>
          <w:color w:val="auto"/>
          <w:szCs w:val="20"/>
          <w:lang w:eastAsia="it-IT"/>
        </w:rPr>
      </w:r>
    </w:p>
    <w:p>
      <w:pPr>
        <w:pStyle w:val="Normal"/>
        <w:widowControl w:val="false"/>
        <w:overflowPunct w:val="true"/>
        <w:spacing w:lineRule="auto" w:line="240" w:before="0" w:after="120"/>
        <w:jc w:val="center"/>
        <w:rPr>
          <w:rFonts w:ascii="Arial" w:hAnsi="Arial" w:eastAsia="Times New Roman" w:cs="Arial"/>
          <w:color w:val="auto"/>
          <w:sz w:val="32"/>
          <w:szCs w:val="32"/>
          <w:lang w:eastAsia="it-IT"/>
        </w:rPr>
      </w:pPr>
      <w:r>
        <w:rPr>
          <w:rFonts w:eastAsia="Times New Roman" w:cs="Arial" w:ascii="Arial" w:hAnsi="Arial"/>
          <w:color w:val="auto"/>
          <w:sz w:val="32"/>
          <w:szCs w:val="32"/>
          <w:lang w:eastAsia="it-IT"/>
        </w:rPr>
        <w:t>Provincia di Milano</w:t>
      </w:r>
    </w:p>
    <w:p>
      <w:pPr>
        <w:pStyle w:val="Normal"/>
        <w:widowControl w:val="false"/>
        <w:overflowPunct w:val="true"/>
        <w:spacing w:lineRule="auto" w:line="240" w:before="0" w:after="120"/>
        <w:rPr>
          <w:rFonts w:ascii="Arial" w:hAnsi="Arial" w:eastAsia="Times New Roman" w:cs="Arial"/>
          <w:color w:val="auto"/>
          <w:szCs w:val="20"/>
          <w:lang w:eastAsia="it-IT"/>
        </w:rPr>
      </w:pPr>
      <w:r>
        <w:rPr>
          <w:rFonts w:eastAsia="Times New Roman" w:cs="Arial" w:ascii="Arial" w:hAnsi="Arial"/>
          <w:color w:val="auto"/>
          <w:szCs w:val="20"/>
          <w:lang w:eastAsia="it-IT"/>
        </w:rPr>
      </w:r>
    </w:p>
    <w:p>
      <w:pPr>
        <w:pStyle w:val="Normal"/>
        <w:widowControl w:val="false"/>
        <w:overflowPunct w:val="true"/>
        <w:spacing w:lineRule="auto" w:line="240" w:before="0" w:after="120"/>
        <w:rPr>
          <w:rFonts w:ascii="Arial" w:hAnsi="Arial" w:eastAsia="Times New Roman" w:cs="Arial"/>
          <w:color w:val="auto"/>
          <w:szCs w:val="20"/>
          <w:lang w:eastAsia="it-IT"/>
        </w:rPr>
      </w:pPr>
      <w:r>
        <w:rPr>
          <w:rFonts w:eastAsia="Times New Roman" w:cs="Arial" w:ascii="Arial" w:hAnsi="Arial"/>
          <w:color w:val="auto"/>
          <w:szCs w:val="20"/>
          <w:lang w:eastAsia="it-IT"/>
        </w:rPr>
      </w:r>
    </w:p>
    <w:p>
      <w:pPr>
        <w:pStyle w:val="Normal"/>
        <w:widowControl w:val="false"/>
        <w:overflowPunct w:val="true"/>
        <w:spacing w:lineRule="auto" w:line="240" w:before="0" w:after="120"/>
        <w:rPr>
          <w:rFonts w:ascii="Arial" w:hAnsi="Arial" w:eastAsia="Times New Roman" w:cs="Arial"/>
          <w:color w:val="auto"/>
          <w:szCs w:val="20"/>
          <w:lang w:eastAsia="it-IT"/>
        </w:rPr>
      </w:pPr>
      <w:r>
        <w:rPr>
          <w:rFonts w:eastAsia="Times New Roman" w:cs="Arial" w:ascii="Arial" w:hAnsi="Arial"/>
          <w:color w:val="auto"/>
          <w:szCs w:val="20"/>
          <w:lang w:eastAsia="it-IT"/>
        </w:rPr>
      </w:r>
    </w:p>
    <w:tbl>
      <w:tblPr>
        <w:tblpPr w:bottomFromText="0" w:horzAnchor="margin" w:leftFromText="187" w:rightFromText="187" w:tblpX="0" w:tblpXSpec="right" w:tblpY="138" w:topFromText="0" w:vertAnchor="text"/>
        <w:tblW w:w="5000" w:type="pct"/>
        <w:jc w:val="right"/>
        <w:tblInd w:w="0" w:type="dxa"/>
        <w:tblLayout w:type="fixed"/>
        <w:tblCellMar>
          <w:top w:w="216" w:type="dxa"/>
          <w:left w:w="216" w:type="dxa"/>
          <w:bottom w:w="216" w:type="dxa"/>
          <w:right w:w="216" w:type="dxa"/>
        </w:tblCellMar>
        <w:tblLook w:firstRow="1" w:noVBand="1" w:lastRow="0" w:firstColumn="1" w:lastColumn="0" w:noHBand="0" w:val="04a0"/>
      </w:tblPr>
      <w:tblGrid>
        <w:gridCol w:w="5498"/>
        <w:gridCol w:w="4139"/>
      </w:tblGrid>
      <w:tr>
        <w:trPr/>
        <w:tc>
          <w:tcPr>
            <w:tcW w:w="5498" w:type="dxa"/>
            <w:tcBorders>
              <w:bottom w:val="single" w:sz="18" w:space="0" w:color="808080"/>
              <w:right w:val="single" w:sz="18" w:space="0" w:color="808080"/>
            </w:tcBorders>
            <w:vAlign w:val="center"/>
          </w:tcPr>
          <w:p>
            <w:pPr>
              <w:pStyle w:val="Normal"/>
              <w:widowControl w:val="false"/>
              <w:overflowPunct w:val="true"/>
              <w:spacing w:lineRule="auto" w:line="240" w:before="0" w:after="120"/>
              <w:jc w:val="center"/>
              <w:rPr>
                <w:rFonts w:ascii="Arial" w:hAnsi="Arial" w:eastAsia="Times New Roman" w:cs="Arial"/>
                <w:b/>
                <w:b/>
                <w:color w:val="auto"/>
                <w:sz w:val="52"/>
                <w:szCs w:val="52"/>
                <w:lang w:eastAsia="it-IT"/>
              </w:rPr>
            </w:pPr>
            <w:r>
              <w:rPr>
                <w:rFonts w:eastAsia="Times New Roman" w:cs="Arial" w:ascii="Arial" w:hAnsi="Arial"/>
                <w:b/>
                <w:color w:val="auto"/>
                <w:sz w:val="52"/>
                <w:szCs w:val="52"/>
                <w:lang w:eastAsia="it-IT"/>
              </w:rPr>
              <w:t>Relazione dell’organo di revisione</w:t>
            </w:r>
          </w:p>
          <w:p>
            <w:pPr>
              <w:pStyle w:val="Normal"/>
              <w:widowControl w:val="false"/>
              <w:overflowPunct w:val="true"/>
              <w:spacing w:lineRule="auto" w:line="240" w:before="0" w:after="120"/>
              <w:rPr>
                <w:rFonts w:ascii="Arial" w:hAnsi="Arial" w:eastAsia="Times New Roman" w:cs="Arial"/>
                <w:b/>
                <w:b/>
                <w:i/>
                <w:i/>
                <w:color w:val="auto"/>
                <w:sz w:val="36"/>
                <w:szCs w:val="36"/>
                <w:lang w:eastAsia="it-IT"/>
              </w:rPr>
            </w:pPr>
            <w:r>
              <w:rPr>
                <w:rFonts w:eastAsia="Times New Roman" w:cs="Arial" w:ascii="Arial" w:hAnsi="Arial"/>
                <w:b/>
                <w:i/>
                <w:color w:val="auto"/>
                <w:sz w:val="36"/>
                <w:szCs w:val="36"/>
                <w:lang w:eastAsia="it-IT"/>
              </w:rPr>
            </w:r>
          </w:p>
          <w:p>
            <w:pPr>
              <w:pStyle w:val="Normal"/>
              <w:widowControl w:val="false"/>
              <w:numPr>
                <w:ilvl w:val="0"/>
                <w:numId w:val="2"/>
              </w:numPr>
              <w:suppressAutoHyphens w:val="true"/>
              <w:overflowPunct w:val="true"/>
              <w:spacing w:lineRule="auto" w:line="240" w:before="0" w:after="120"/>
              <w:ind w:left="2" w:hanging="4"/>
              <w:jc w:val="left"/>
              <w:textAlignment w:val="top"/>
              <w:rPr>
                <w:rFonts w:ascii="Arial" w:hAnsi="Arial" w:eastAsia="Times New Roman" w:cs="Arial"/>
                <w:i/>
                <w:i/>
                <w:color w:val="auto"/>
                <w:sz w:val="36"/>
                <w:szCs w:val="36"/>
                <w:lang w:eastAsia="it-IT"/>
              </w:rPr>
            </w:pPr>
            <w:r>
              <w:rPr>
                <w:rFonts w:eastAsia="Times New Roman" w:cs="Arial" w:ascii="Arial" w:hAnsi="Arial"/>
                <w:i/>
                <w:color w:val="auto"/>
                <w:sz w:val="36"/>
                <w:szCs w:val="36"/>
                <w:lang w:eastAsia="it-IT"/>
              </w:rPr>
              <w:t>sulla proposta di deliberazione consiliare del rendiconto della gestione</w:t>
            </w:r>
          </w:p>
          <w:p>
            <w:pPr>
              <w:pStyle w:val="Normal"/>
              <w:widowControl w:val="false"/>
              <w:numPr>
                <w:ilvl w:val="0"/>
                <w:numId w:val="2"/>
              </w:numPr>
              <w:suppressAutoHyphens w:val="true"/>
              <w:overflowPunct w:val="true"/>
              <w:spacing w:lineRule="auto" w:line="240" w:before="0" w:after="120"/>
              <w:ind w:left="2" w:hanging="4"/>
              <w:jc w:val="left"/>
              <w:textAlignment w:val="top"/>
              <w:rPr>
                <w:rFonts w:ascii="Arial" w:hAnsi="Arial" w:eastAsia="Times New Roman" w:cs="Arial"/>
                <w:i/>
                <w:i/>
                <w:color w:val="auto"/>
                <w:sz w:val="36"/>
                <w:szCs w:val="36"/>
                <w:lang w:eastAsia="it-IT"/>
              </w:rPr>
            </w:pPr>
            <w:r>
              <w:rPr>
                <w:rFonts w:eastAsia="Times New Roman" w:cs="Arial" w:ascii="Arial" w:hAnsi="Arial"/>
                <w:i/>
                <w:color w:val="auto"/>
                <w:sz w:val="36"/>
                <w:szCs w:val="36"/>
                <w:lang w:eastAsia="it-IT"/>
              </w:rPr>
              <w:t>sullo schema di rendiconto</w:t>
            </w:r>
          </w:p>
        </w:tc>
        <w:tc>
          <w:tcPr>
            <w:tcW w:w="4139" w:type="dxa"/>
            <w:tcBorders>
              <w:left w:val="single" w:sz="18" w:space="0" w:color="808080"/>
              <w:bottom w:val="single" w:sz="18" w:space="0" w:color="808080"/>
            </w:tcBorders>
            <w:vAlign w:val="center"/>
          </w:tcPr>
          <w:p>
            <w:pPr>
              <w:pStyle w:val="Normal"/>
              <w:widowControl w:val="false"/>
              <w:spacing w:lineRule="auto" w:line="240" w:before="0" w:after="0"/>
              <w:jc w:val="center"/>
              <w:rPr>
                <w:rFonts w:ascii="Arial" w:hAnsi="Arial" w:eastAsia="Times New Roman" w:cs="Arial"/>
                <w:color w:val="auto"/>
                <w:sz w:val="100"/>
                <w:szCs w:val="100"/>
              </w:rPr>
            </w:pPr>
            <w:r>
              <w:rPr>
                <w:rFonts w:eastAsia="Times New Roman" w:cs="Arial" w:ascii="Arial" w:hAnsi="Arial"/>
                <w:color w:val="auto"/>
                <w:sz w:val="100"/>
                <w:szCs w:val="100"/>
              </w:rPr>
              <w:t>Anno</w:t>
            </w:r>
          </w:p>
          <w:p>
            <w:pPr>
              <w:pStyle w:val="Normal"/>
              <w:widowControl w:val="false"/>
              <w:spacing w:lineRule="auto" w:line="240" w:before="0" w:after="0"/>
              <w:jc w:val="center"/>
              <w:rPr>
                <w:rFonts w:ascii="Arial" w:hAnsi="Arial" w:eastAsia="Times New Roman" w:cs="Arial"/>
                <w:color w:val="4F81BD"/>
                <w:sz w:val="100"/>
                <w:szCs w:val="100"/>
                <w:lang w:eastAsia="it-IT"/>
              </w:rPr>
            </w:pPr>
            <w:r>
              <w:rPr>
                <w:rFonts w:eastAsia="Times New Roman" w:cs="Arial" w:ascii="Arial" w:hAnsi="Arial"/>
                <w:color w:val="auto"/>
                <w:sz w:val="100"/>
                <w:szCs w:val="100"/>
              </w:rPr>
              <w:t>2024</w:t>
            </w:r>
          </w:p>
        </w:tc>
      </w:tr>
    </w:tbl>
    <w:p>
      <w:pPr>
        <w:pStyle w:val="Normal"/>
        <w:widowControl w:val="false"/>
        <w:overflowPunct w:val="true"/>
        <w:spacing w:lineRule="auto" w:line="240" w:before="0" w:after="120"/>
        <w:rPr>
          <w:rFonts w:ascii="Arial" w:hAnsi="Arial" w:eastAsia="Times New Roman" w:cs="Arial"/>
          <w:color w:val="auto"/>
          <w:szCs w:val="20"/>
          <w:lang w:eastAsia="it-IT"/>
        </w:rPr>
      </w:pPr>
      <w:r>
        <w:rPr>
          <w:rFonts w:eastAsia="Times New Roman" w:cs="Arial" w:ascii="Arial" w:hAnsi="Arial"/>
          <w:color w:val="auto"/>
          <w:szCs w:val="20"/>
          <w:lang w:eastAsia="it-IT"/>
        </w:rPr>
      </w:r>
    </w:p>
    <w:p>
      <w:pPr>
        <w:pStyle w:val="Normal"/>
        <w:widowControl w:val="false"/>
        <w:overflowPunct w:val="true"/>
        <w:spacing w:lineRule="auto" w:line="240" w:before="0" w:after="120"/>
        <w:jc w:val="center"/>
        <w:rPr>
          <w:rFonts w:ascii="Arial" w:hAnsi="Arial" w:eastAsia="Times New Roman" w:cs="Arial"/>
          <w:b/>
          <w:b/>
          <w:color w:val="auto"/>
          <w:sz w:val="24"/>
          <w:szCs w:val="20"/>
          <w:lang w:eastAsia="it-IT"/>
        </w:rPr>
      </w:pPr>
      <w:r>
        <w:rPr>
          <w:rFonts w:eastAsia="Times New Roman" w:cs="Arial" w:ascii="Arial" w:hAnsi="Arial"/>
          <w:b/>
          <w:color w:val="auto"/>
          <w:sz w:val="24"/>
          <w:szCs w:val="20"/>
          <w:lang w:eastAsia="it-IT"/>
        </w:rPr>
      </w:r>
    </w:p>
    <w:p>
      <w:pPr>
        <w:pStyle w:val="Normal"/>
        <w:widowControl w:val="false"/>
        <w:overflowPunct w:val="true"/>
        <w:spacing w:lineRule="auto" w:line="240" w:before="0" w:after="120"/>
        <w:jc w:val="center"/>
        <w:rPr>
          <w:rFonts w:ascii="Arial" w:hAnsi="Arial" w:eastAsia="Times New Roman" w:cs="Arial"/>
          <w:b/>
          <w:b/>
          <w:color w:val="auto"/>
          <w:sz w:val="24"/>
          <w:szCs w:val="20"/>
          <w:lang w:eastAsia="it-IT"/>
        </w:rPr>
      </w:pPr>
      <w:r>
        <w:rPr>
          <w:rFonts w:eastAsia="Times New Roman" w:cs="Arial" w:ascii="Arial" w:hAnsi="Arial"/>
          <w:b/>
          <w:color w:val="auto"/>
          <w:sz w:val="24"/>
          <w:szCs w:val="20"/>
          <w:lang w:eastAsia="it-IT"/>
        </w:rPr>
      </w:r>
    </w:p>
    <w:p>
      <w:pPr>
        <w:pStyle w:val="Normal"/>
        <w:widowControl w:val="false"/>
        <w:pBdr/>
        <w:overflowPunct w:val="true"/>
        <w:spacing w:lineRule="auto" w:line="240" w:before="0" w:after="240"/>
        <w:ind w:left="2160" w:firstLine="720"/>
        <w:jc w:val="right"/>
        <w:rPr>
          <w:b/>
          <w:b/>
          <w:bCs/>
        </w:rPr>
        <w:framePr w:w="9640" w:h="1824" w:x="1299" w:y="527" w:hSpace="187" w:vSpace="0" w:wrap="auto" w:vAnchor="text" w:hAnchor="page" w:hRule="exact"/>
        <w:pBdr/>
      </w:pPr>
      <w:r>
        <w:rPr>
          <w:rFonts w:eastAsia="Times New Roman" w:cs="Arial" w:ascii="Arial" w:hAnsi="Arial"/>
          <w:b/>
          <w:bCs/>
          <w:smallCaps/>
          <w:color w:val="auto"/>
          <w:sz w:val="24"/>
          <w:szCs w:val="20"/>
          <w:lang w:eastAsia="it-IT"/>
        </w:rPr>
        <w:t>L’ORGANO DI REVISIONE</w:t>
      </w:r>
    </w:p>
    <w:p>
      <w:pPr>
        <w:pStyle w:val="Normal"/>
        <w:widowControl w:val="false"/>
        <w:pBdr/>
        <w:overflowPunct w:val="true"/>
        <w:spacing w:lineRule="auto" w:line="240" w:before="0" w:after="240"/>
        <w:ind w:left="2880" w:hanging="0"/>
        <w:jc w:val="right"/>
        <w:rPr/>
        <w:framePr w:w="9640" w:h="1824" w:x="1299" w:y="527" w:hSpace="187" w:vSpace="0" w:wrap="auto" w:vAnchor="text" w:hAnchor="page" w:hRule="exact"/>
        <w:pBdr/>
      </w:pPr>
      <w:r>
        <w:rPr>
          <w:rFonts w:eastAsia="Times New Roman" w:cs="Arial" w:ascii="Arial" w:hAnsi="Arial"/>
          <w:smallCaps/>
          <w:color w:val="auto"/>
          <w:sz w:val="24"/>
          <w:szCs w:val="20"/>
          <w:lang w:eastAsia="it-IT"/>
        </w:rPr>
        <w:t xml:space="preserve">    </w:t>
      </w:r>
      <w:r>
        <w:rPr>
          <w:rFonts w:eastAsia="Times New Roman" w:cs="Arial" w:ascii="Arial" w:hAnsi="Arial"/>
          <w:smallCaps/>
          <w:color w:val="auto"/>
          <w:sz w:val="24"/>
          <w:szCs w:val="20"/>
          <w:lang w:eastAsia="it-IT"/>
        </w:rPr>
        <w:t>Dott. Riccardo Luigi Tofani</w:t>
      </w:r>
    </w:p>
    <w:p>
      <w:pPr>
        <w:pStyle w:val="Normal"/>
        <w:widowControl w:val="false"/>
        <w:pBdr/>
        <w:overflowPunct w:val="true"/>
        <w:spacing w:lineRule="auto" w:line="240" w:before="0" w:after="240"/>
        <w:ind w:left="2880" w:hanging="0"/>
        <w:jc w:val="right"/>
        <w:rPr/>
        <w:framePr w:w="9640" w:h="1824" w:x="1299" w:y="527" w:hSpace="187" w:vSpace="0" w:wrap="auto" w:vAnchor="text" w:hAnchor="page" w:hRule="exact"/>
        <w:pBdr/>
      </w:pPr>
      <w:r>
        <w:rPr>
          <w:rFonts w:eastAsia="Times New Roman" w:cs="Arial" w:ascii="Arial" w:hAnsi="Arial"/>
          <w:smallCaps/>
          <w:color w:val="auto"/>
          <w:sz w:val="24"/>
          <w:szCs w:val="20"/>
          <w:lang w:eastAsia="it-IT"/>
        </w:rPr>
        <w:t xml:space="preserve">    </w:t>
      </w:r>
      <w:r>
        <w:rPr>
          <w:rFonts w:eastAsia="Times New Roman" w:cs="Arial" w:ascii="Arial" w:hAnsi="Arial"/>
          <w:smallCaps/>
          <w:color w:val="auto"/>
          <w:sz w:val="24"/>
          <w:szCs w:val="20"/>
          <w:lang w:eastAsia="it-IT"/>
        </w:rPr>
        <w:t>Dott. Tullio Paderno</w:t>
      </w:r>
    </w:p>
    <w:p>
      <w:pPr>
        <w:pStyle w:val="Normal"/>
        <w:widowControl w:val="false"/>
        <w:pBdr/>
        <w:overflowPunct w:val="true"/>
        <w:spacing w:lineRule="auto" w:line="240" w:before="0" w:after="240"/>
        <w:ind w:left="2880" w:hanging="0"/>
        <w:jc w:val="right"/>
        <w:rPr/>
        <w:framePr w:w="9640" w:h="1824" w:x="1299" w:y="527" w:hSpace="187" w:vSpace="0" w:wrap="auto" w:vAnchor="text" w:hAnchor="page" w:hRule="exact"/>
        <w:pBdr/>
      </w:pPr>
      <w:r>
        <w:rPr>
          <w:rFonts w:eastAsia="Times New Roman" w:cs="Arial" w:ascii="Arial" w:hAnsi="Arial"/>
          <w:smallCaps/>
          <w:color w:val="auto"/>
          <w:sz w:val="24"/>
          <w:szCs w:val="20"/>
          <w:lang w:eastAsia="it-IT"/>
        </w:rPr>
        <w:t xml:space="preserve">    </w:t>
      </w:r>
      <w:r>
        <w:rPr>
          <w:rFonts w:eastAsia="Times New Roman" w:cs="Arial" w:ascii="Arial" w:hAnsi="Arial"/>
          <w:smallCaps/>
          <w:color w:val="auto"/>
          <w:sz w:val="24"/>
          <w:szCs w:val="20"/>
          <w:lang w:eastAsia="it-IT"/>
        </w:rPr>
        <w:t>Dott.ssa Maria Assunta Colombo</w:t>
      </w:r>
    </w:p>
    <w:p>
      <w:pPr>
        <w:sectPr>
          <w:headerReference w:type="default" r:id="rId2"/>
          <w:type w:val="nextPage"/>
          <w:pgSz w:w="11906" w:h="16838"/>
          <w:pgMar w:left="1134" w:right="1134" w:gutter="0" w:header="708" w:top="1417" w:footer="0" w:bottom="1134"/>
          <w:pgNumType w:fmt="decimal"/>
          <w:formProt w:val="false"/>
          <w:textDirection w:val="lrTb"/>
          <w:docGrid w:type="default" w:linePitch="360" w:charSpace="0"/>
        </w:sectPr>
        <w:pStyle w:val="Normal"/>
        <w:tabs>
          <w:tab w:val="clear" w:pos="708"/>
          <w:tab w:val="left" w:pos="0" w:leader="none"/>
          <w:tab w:val="left" w:pos="1418" w:leader="none"/>
          <w:tab w:val="left" w:pos="2835" w:leader="none"/>
          <w:tab w:val="left" w:pos="4252" w:leader="none"/>
        </w:tabs>
        <w:suppressAutoHyphens w:val="true"/>
        <w:spacing w:lineRule="auto" w:line="240" w:before="175" w:after="0"/>
        <w:ind w:left="1" w:hanging="3"/>
        <w:jc w:val="center"/>
        <w:textAlignment w:val="top"/>
        <w:rPr>
          <w:rFonts w:ascii="Arial" w:hAnsi="Arial" w:eastAsia="Arial" w:cs="Arial"/>
          <w:color w:val="000000"/>
          <w:sz w:val="32"/>
          <w:szCs w:val="32"/>
          <w:lang w:eastAsia="it-IT"/>
        </w:rPr>
      </w:pPr>
      <w:r>
        <w:rPr>
          <w:rFonts w:eastAsia="Arial" w:cs="Arial" w:ascii="Arial" w:hAnsi="Arial"/>
          <w:color w:val="000000"/>
          <w:sz w:val="32"/>
          <w:szCs w:val="32"/>
          <w:lang w:eastAsia="it-IT"/>
        </w:rPr>
      </w:r>
    </w:p>
    <w:p>
      <w:pPr>
        <w:pStyle w:val="Normal"/>
        <w:pBdr>
          <w:top w:val="single" w:sz="36" w:space="12" w:color="C00000"/>
        </w:pBdr>
        <w:spacing w:before="0" w:after="480"/>
        <w:rPr>
          <w:b/>
          <w:b/>
          <w:bCs/>
          <w:color w:val="C00000"/>
          <w:sz w:val="32"/>
          <w:szCs w:val="32"/>
        </w:rPr>
      </w:pPr>
      <w:r>
        <w:rPr>
          <w:b/>
          <w:bCs/>
          <w:color w:val="C00000"/>
          <w:sz w:val="32"/>
          <w:szCs w:val="32"/>
        </w:rPr>
        <w:t>Sommario</w:t>
      </w:r>
    </w:p>
    <w:sdt>
      <w:sdtPr>
        <w:docPartObj>
          <w:docPartGallery w:val="Table of Contents"/>
          <w:docPartUnique w:val="true"/>
        </w:docPartObj>
      </w:sdtPr>
      <w:sdtContent>
        <w:p>
          <w:pPr>
            <w:pStyle w:val="Indice1"/>
            <w:rPr>
              <w:rFonts w:cs="" w:cstheme="minorBidi"/>
              <w:b w:val="false"/>
              <w:b w:val="false"/>
              <w:bCs w:val="false"/>
              <w:caps w:val="false"/>
              <w:smallCaps w:val="false"/>
              <w:color w:val="auto"/>
              <w:kern w:val="2"/>
              <w:sz w:val="24"/>
              <w:szCs w:val="24"/>
              <w:lang w:eastAsia="it-IT"/>
              <w14:ligatures w14:val="standardContextual"/>
            </w:rPr>
          </w:pPr>
          <w:r>
            <w:fldChar w:fldCharType="begin"/>
          </w:r>
          <w:r>
            <w:rPr>
              <w:webHidden/>
              <w:rStyle w:val="Saltoaindice"/>
              <w:vanish w:val="false"/>
            </w:rPr>
            <w:instrText xml:space="preserve"> TOC \z \o "1-5" \u \h</w:instrText>
          </w:r>
          <w:r>
            <w:rPr>
              <w:webHidden/>
              <w:rStyle w:val="Saltoaindice"/>
              <w:vanish w:val="false"/>
            </w:rPr>
            <w:fldChar w:fldCharType="separate"/>
          </w:r>
          <w:hyperlink w:anchor="_Toc192666967">
            <w:r>
              <w:rPr>
                <w:webHidden/>
                <w:rStyle w:val="Saltoaindice"/>
                <w:vanish w:val="false"/>
              </w:rPr>
              <w:t>1.</w:t>
            </w:r>
            <w:r>
              <w:rPr>
                <w:rStyle w:val="Saltoaindice"/>
                <w:rFonts w:cs="" w:cstheme="minorBidi"/>
                <w:b w:val="false"/>
                <w:bCs w:val="false"/>
                <w:caps w:val="false"/>
                <w:smallCaps w:val="false"/>
                <w:color w:val="auto"/>
                <w:kern w:val="2"/>
                <w:sz w:val="24"/>
                <w:szCs w:val="24"/>
                <w:lang w:eastAsia="it-IT"/>
                <w14:ligatures w14:val="standardContextual"/>
              </w:rPr>
              <w:tab/>
            </w:r>
            <w:r>
              <w:rPr>
                <w:rStyle w:val="Saltoaindice"/>
              </w:rPr>
              <w:t>Introduzione</w:t>
            </w:r>
            <w:r>
              <w:rPr>
                <w:webHidden/>
              </w:rPr>
              <w:fldChar w:fldCharType="begin"/>
            </w:r>
            <w:r>
              <w:rPr>
                <w:webHidden/>
              </w:rPr>
              <w:instrText xml:space="preserve">PAGEREF _Toc192666967 \h</w:instrText>
            </w:r>
            <w:r>
              <w:rPr>
                <w:webHidden/>
              </w:rPr>
              <w:fldChar w:fldCharType="separate"/>
            </w:r>
            <w:r>
              <w:rPr>
                <w:rStyle w:val="Saltoaindice"/>
                <w:vanish w:val="false"/>
              </w:rPr>
              <w:tab/>
              <w:t>2</w:t>
            </w:r>
            <w:r>
              <w:rPr>
                <w:webHidden/>
              </w:rPr>
              <w:fldChar w:fldCharType="end"/>
            </w:r>
          </w:hyperlink>
        </w:p>
        <w:p>
          <w:pPr>
            <w:pStyle w:val="Indice2"/>
            <w:rPr>
              <w:rFonts w:cs="" w:cstheme="minorBidi"/>
              <w:bCs w:val="false"/>
              <w:color w:val="auto"/>
              <w:kern w:val="2"/>
              <w:sz w:val="24"/>
              <w:szCs w:val="24"/>
              <w:lang w:eastAsia="it-IT"/>
              <w14:ligatures w14:val="standardContextual"/>
            </w:rPr>
          </w:pPr>
          <w:hyperlink w:anchor="_Toc192666968">
            <w:r>
              <w:rPr>
                <w:webHidden/>
                <w:rStyle w:val="Saltoaindice"/>
                <w:vanish w:val="false"/>
              </w:rPr>
              <w:t>1.1.</w:t>
            </w:r>
            <w:r>
              <w:rPr>
                <w:rStyle w:val="Saltoaindice"/>
                <w:rFonts w:cs="" w:cstheme="minorBidi"/>
                <w:bCs w:val="false"/>
                <w:color w:val="auto"/>
                <w:kern w:val="2"/>
                <w:sz w:val="24"/>
                <w:szCs w:val="24"/>
                <w:lang w:eastAsia="it-IT"/>
                <w14:ligatures w14:val="standardContextual"/>
              </w:rPr>
              <w:tab/>
            </w:r>
            <w:r>
              <w:rPr>
                <w:rStyle w:val="Saltoaindice"/>
              </w:rPr>
              <w:t>Verifiche preliminari</w:t>
            </w:r>
            <w:r>
              <w:rPr>
                <w:rStyle w:val="Saltoaindice"/>
                <w:vanish w:val="false"/>
              </w:rPr>
              <w:tab/>
            </w:r>
          </w:hyperlink>
          <w:r>
            <w:rPr>
              <w:vanish w:val="false"/>
            </w:rPr>
            <w:t>4</w:t>
          </w:r>
        </w:p>
        <w:p>
          <w:pPr>
            <w:pStyle w:val="Indice1"/>
            <w:rPr>
              <w:rFonts w:cs="" w:cstheme="minorBidi"/>
              <w:b w:val="false"/>
              <w:b w:val="false"/>
              <w:bCs w:val="false"/>
              <w:caps w:val="false"/>
              <w:smallCaps w:val="false"/>
              <w:color w:val="auto"/>
              <w:kern w:val="2"/>
              <w:sz w:val="24"/>
              <w:szCs w:val="24"/>
              <w:lang w:eastAsia="it-IT"/>
              <w14:ligatures w14:val="standardContextual"/>
            </w:rPr>
          </w:pPr>
          <w:hyperlink w:anchor="_Toc192666969">
            <w:r>
              <w:rPr>
                <w:webHidden/>
                <w:rStyle w:val="Saltoaindice"/>
                <w:vanish w:val="false"/>
              </w:rPr>
              <w:t>2.</w:t>
            </w:r>
            <w:r>
              <w:rPr>
                <w:rStyle w:val="Saltoaindice"/>
                <w:rFonts w:cs="" w:cstheme="minorBidi"/>
                <w:b w:val="false"/>
                <w:bCs w:val="false"/>
                <w:caps w:val="false"/>
                <w:smallCaps w:val="false"/>
                <w:color w:val="auto"/>
                <w:kern w:val="2"/>
                <w:sz w:val="24"/>
                <w:szCs w:val="24"/>
                <w:lang w:eastAsia="it-IT"/>
                <w14:ligatures w14:val="standardContextual"/>
              </w:rPr>
              <w:tab/>
            </w:r>
            <w:r>
              <w:rPr>
                <w:rStyle w:val="Saltoaindice"/>
              </w:rPr>
              <w:t>Conto del bilancio</w:t>
            </w:r>
            <w:r>
              <w:rPr>
                <w:webHidden/>
              </w:rPr>
              <w:fldChar w:fldCharType="begin"/>
            </w:r>
            <w:r>
              <w:rPr>
                <w:webHidden/>
              </w:rPr>
              <w:instrText xml:space="preserve">PAGEREF _Toc192666969 \h</w:instrText>
            </w:r>
            <w:r>
              <w:rPr>
                <w:webHidden/>
              </w:rPr>
              <w:fldChar w:fldCharType="separate"/>
            </w:r>
            <w:r>
              <w:rPr>
                <w:rStyle w:val="Saltoaindice"/>
                <w:vanish w:val="false"/>
              </w:rPr>
              <w:tab/>
              <w:t>6</w:t>
            </w:r>
            <w:r>
              <w:rPr>
                <w:webHidden/>
              </w:rPr>
              <w:fldChar w:fldCharType="end"/>
            </w:r>
          </w:hyperlink>
        </w:p>
        <w:p>
          <w:pPr>
            <w:pStyle w:val="Indice2"/>
            <w:rPr>
              <w:rFonts w:cs="" w:cstheme="minorBidi"/>
              <w:bCs w:val="false"/>
              <w:color w:val="auto"/>
              <w:kern w:val="2"/>
              <w:sz w:val="24"/>
              <w:szCs w:val="24"/>
              <w:lang w:eastAsia="it-IT"/>
              <w14:ligatures w14:val="standardContextual"/>
            </w:rPr>
          </w:pPr>
          <w:hyperlink w:anchor="_Toc192666970">
            <w:r>
              <w:rPr>
                <w:webHidden/>
                <w:rStyle w:val="Saltoaindice"/>
                <w:vanish w:val="false"/>
              </w:rPr>
              <w:t>2.1.</w:t>
            </w:r>
            <w:r>
              <w:rPr>
                <w:rStyle w:val="Saltoaindice"/>
                <w:rFonts w:cs="" w:cstheme="minorBidi"/>
                <w:bCs w:val="false"/>
                <w:color w:val="auto"/>
                <w:kern w:val="2"/>
                <w:sz w:val="24"/>
                <w:szCs w:val="24"/>
                <w:lang w:eastAsia="it-IT"/>
                <w14:ligatures w14:val="standardContextual"/>
              </w:rPr>
              <w:tab/>
            </w:r>
            <w:r>
              <w:rPr>
                <w:rStyle w:val="Saltoaindice"/>
              </w:rPr>
              <w:t>Il risultato di amministrazione</w:t>
            </w:r>
            <w:r>
              <w:rPr>
                <w:webHidden/>
              </w:rPr>
              <w:fldChar w:fldCharType="begin"/>
            </w:r>
            <w:r>
              <w:rPr>
                <w:webHidden/>
              </w:rPr>
              <w:instrText xml:space="preserve">PAGEREF _Toc192666970 \h</w:instrText>
            </w:r>
            <w:r>
              <w:rPr>
                <w:webHidden/>
              </w:rPr>
              <w:fldChar w:fldCharType="separate"/>
            </w:r>
            <w:r>
              <w:rPr>
                <w:rStyle w:val="Saltoaindice"/>
                <w:vanish w:val="false"/>
              </w:rPr>
              <w:tab/>
              <w:t>6</w:t>
            </w:r>
            <w:r>
              <w:rPr>
                <w:webHidden/>
              </w:rPr>
              <w:fldChar w:fldCharType="end"/>
            </w:r>
          </w:hyperlink>
        </w:p>
        <w:p>
          <w:pPr>
            <w:pStyle w:val="Indice2"/>
            <w:rPr>
              <w:rFonts w:cs="" w:cstheme="minorBidi"/>
              <w:bCs w:val="false"/>
              <w:color w:val="auto"/>
              <w:kern w:val="2"/>
              <w:sz w:val="24"/>
              <w:szCs w:val="24"/>
              <w:lang w:eastAsia="it-IT"/>
              <w14:ligatures w14:val="standardContextual"/>
            </w:rPr>
          </w:pPr>
          <w:hyperlink w:anchor="_Toc192666971">
            <w:r>
              <w:rPr>
                <w:webHidden/>
                <w:rStyle w:val="Saltoaindice"/>
                <w:vanish w:val="false"/>
              </w:rPr>
              <w:t>2.2.</w:t>
            </w:r>
            <w:r>
              <w:rPr>
                <w:rStyle w:val="Saltoaindice"/>
                <w:rFonts w:cs="" w:cstheme="minorBidi"/>
                <w:bCs w:val="false"/>
                <w:color w:val="auto"/>
                <w:kern w:val="2"/>
                <w:sz w:val="24"/>
                <w:szCs w:val="24"/>
                <w:lang w:eastAsia="it-IT"/>
                <w14:ligatures w14:val="standardContextual"/>
              </w:rPr>
              <w:tab/>
            </w:r>
            <w:r>
              <w:rPr>
                <w:rStyle w:val="Saltoaindice"/>
              </w:rPr>
              <w:t>Utilizzo nell’esercizio 2024 delle risorse del risultato d’amministrazione dell’esercizio 2023</w:t>
            </w:r>
            <w:r>
              <w:rPr>
                <w:rStyle w:val="Saltoaindice"/>
                <w:vanish w:val="false"/>
              </w:rPr>
              <w:tab/>
            </w:r>
          </w:hyperlink>
          <w:r>
            <w:rPr>
              <w:vanish w:val="false"/>
            </w:rPr>
            <w:t>9</w:t>
          </w:r>
        </w:p>
        <w:p>
          <w:pPr>
            <w:pStyle w:val="Indice2"/>
            <w:rPr>
              <w:rFonts w:cs="" w:cstheme="minorBidi"/>
              <w:bCs w:val="false"/>
              <w:color w:val="auto"/>
              <w:kern w:val="2"/>
              <w:sz w:val="24"/>
              <w:szCs w:val="24"/>
              <w:lang w:eastAsia="it-IT"/>
              <w14:ligatures w14:val="standardContextual"/>
            </w:rPr>
          </w:pPr>
          <w:hyperlink w:anchor="_Toc192666972">
            <w:r>
              <w:rPr>
                <w:webHidden/>
                <w:rStyle w:val="Saltoaindice"/>
                <w:vanish w:val="false"/>
              </w:rPr>
              <w:t>2.3.</w:t>
            </w:r>
            <w:r>
              <w:rPr>
                <w:rStyle w:val="Saltoaindice"/>
                <w:rFonts w:cs="" w:cstheme="minorBidi"/>
                <w:bCs w:val="false"/>
                <w:color w:val="auto"/>
                <w:kern w:val="2"/>
                <w:sz w:val="24"/>
                <w:szCs w:val="24"/>
                <w:lang w:eastAsia="it-IT"/>
                <w14:ligatures w14:val="standardContextual"/>
              </w:rPr>
              <w:tab/>
            </w:r>
            <w:r>
              <w:rPr>
                <w:rStyle w:val="Saltoaindice"/>
              </w:rPr>
              <w:t>Conciliazione tra risultato della gestione di competenza e il risultato di amministrazione</w:t>
            </w:r>
            <w:r>
              <w:rPr>
                <w:rStyle w:val="Saltoaindice"/>
                <w:vanish w:val="false"/>
              </w:rPr>
              <w:tab/>
            </w:r>
          </w:hyperlink>
          <w:r>
            <w:rPr>
              <w:vanish w:val="false"/>
            </w:rPr>
            <w:t>9</w:t>
          </w:r>
        </w:p>
        <w:p>
          <w:pPr>
            <w:pStyle w:val="Indice2"/>
            <w:rPr>
              <w:rFonts w:cs="" w:cstheme="minorBidi"/>
              <w:bCs w:val="false"/>
              <w:color w:val="auto"/>
              <w:kern w:val="2"/>
              <w:sz w:val="24"/>
              <w:szCs w:val="24"/>
              <w:lang w:eastAsia="it-IT"/>
              <w14:ligatures w14:val="standardContextual"/>
            </w:rPr>
          </w:pPr>
          <w:hyperlink w:anchor="_Toc192666973">
            <w:r>
              <w:rPr>
                <w:webHidden/>
                <w:rStyle w:val="Saltoaindice"/>
                <w:vanish w:val="false"/>
              </w:rPr>
              <w:t>2.4.</w:t>
            </w:r>
            <w:r>
              <w:rPr>
                <w:rStyle w:val="Saltoaindice"/>
                <w:rFonts w:cs="" w:cstheme="minorBidi"/>
                <w:bCs w:val="false"/>
                <w:color w:val="auto"/>
                <w:kern w:val="2"/>
                <w:sz w:val="24"/>
                <w:szCs w:val="24"/>
                <w:lang w:eastAsia="it-IT"/>
                <w14:ligatures w14:val="standardContextual"/>
              </w:rPr>
              <w:tab/>
            </w:r>
            <w:r>
              <w:rPr>
                <w:rStyle w:val="Saltoaindice"/>
              </w:rPr>
              <w:t>Evoluzione del Fondo pluriennale vincolato (FPV) nel corso dell’esercizio 2024</w:t>
            </w:r>
            <w:r>
              <w:rPr>
                <w:rStyle w:val="Saltoaindice"/>
                <w:vanish w:val="false"/>
              </w:rPr>
              <w:tab/>
            </w:r>
          </w:hyperlink>
          <w:r>
            <w:rPr>
              <w:vanish w:val="false"/>
            </w:rPr>
            <w:t>12</w:t>
          </w:r>
        </w:p>
        <w:p>
          <w:pPr>
            <w:pStyle w:val="Indice2"/>
            <w:rPr>
              <w:rFonts w:cs="" w:cstheme="minorBidi"/>
              <w:bCs w:val="false"/>
              <w:color w:val="auto"/>
              <w:kern w:val="2"/>
              <w:sz w:val="24"/>
              <w:szCs w:val="24"/>
              <w:lang w:eastAsia="it-IT"/>
              <w14:ligatures w14:val="standardContextual"/>
            </w:rPr>
          </w:pPr>
          <w:hyperlink w:anchor="_Toc192666974">
            <w:r>
              <w:rPr>
                <w:webHidden/>
                <w:rStyle w:val="Saltoaindice"/>
                <w:vanish w:val="false"/>
              </w:rPr>
              <w:t>2.5.</w:t>
            </w:r>
            <w:r>
              <w:rPr>
                <w:rStyle w:val="Saltoaindice"/>
                <w:rFonts w:cs="" w:cstheme="minorBidi"/>
                <w:bCs w:val="false"/>
                <w:color w:val="auto"/>
                <w:kern w:val="2"/>
                <w:sz w:val="24"/>
                <w:szCs w:val="24"/>
                <w:lang w:eastAsia="it-IT"/>
                <w14:ligatures w14:val="standardContextual"/>
              </w:rPr>
              <w:tab/>
            </w:r>
            <w:r>
              <w:rPr>
                <w:rStyle w:val="Saltoaindice"/>
              </w:rPr>
              <w:t>Analisi della gestione dei residui</w:t>
            </w:r>
            <w:r>
              <w:rPr>
                <w:rStyle w:val="Saltoaindice"/>
                <w:vanish w:val="false"/>
              </w:rPr>
              <w:tab/>
              <w:t>1</w:t>
            </w:r>
          </w:hyperlink>
          <w:r>
            <w:rPr>
              <w:vanish w:val="false"/>
            </w:rPr>
            <w:t>5</w:t>
          </w:r>
        </w:p>
        <w:p>
          <w:pPr>
            <w:pStyle w:val="Indice2"/>
            <w:rPr>
              <w:rFonts w:cs="" w:cstheme="minorBidi"/>
              <w:bCs w:val="false"/>
              <w:color w:val="auto"/>
              <w:kern w:val="2"/>
              <w:sz w:val="24"/>
              <w:szCs w:val="24"/>
              <w:lang w:eastAsia="it-IT"/>
              <w14:ligatures w14:val="standardContextual"/>
            </w:rPr>
          </w:pPr>
          <w:hyperlink w:anchor="_Toc192666975">
            <w:r>
              <w:rPr>
                <w:webHidden/>
                <w:rStyle w:val="Saltoaindice"/>
                <w:vanish w:val="false"/>
              </w:rPr>
              <w:t>2.6.</w:t>
            </w:r>
            <w:r>
              <w:rPr>
                <w:rStyle w:val="Saltoaindice"/>
                <w:rFonts w:cs="" w:cstheme="minorBidi"/>
                <w:bCs w:val="false"/>
                <w:color w:val="auto"/>
                <w:kern w:val="2"/>
                <w:sz w:val="24"/>
                <w:szCs w:val="24"/>
                <w:lang w:eastAsia="it-IT"/>
                <w14:ligatures w14:val="standardContextual"/>
              </w:rPr>
              <w:tab/>
            </w:r>
            <w:r>
              <w:rPr>
                <w:rStyle w:val="Saltoaindice"/>
              </w:rPr>
              <w:t>Servizi conto terzi e partite di giro</w:t>
            </w:r>
            <w:r>
              <w:rPr>
                <w:rStyle w:val="Saltoaindice"/>
                <w:vanish w:val="false"/>
              </w:rPr>
              <w:tab/>
              <w:t>1</w:t>
            </w:r>
          </w:hyperlink>
          <w:r>
            <w:rPr>
              <w:vanish w:val="false"/>
            </w:rPr>
            <w:t>9</w:t>
          </w:r>
        </w:p>
        <w:p>
          <w:pPr>
            <w:pStyle w:val="Indice1"/>
            <w:rPr>
              <w:rFonts w:cs="" w:cstheme="minorBidi"/>
              <w:b w:val="false"/>
              <w:b w:val="false"/>
              <w:bCs w:val="false"/>
              <w:caps w:val="false"/>
              <w:smallCaps w:val="false"/>
              <w:color w:val="auto"/>
              <w:kern w:val="2"/>
              <w:sz w:val="24"/>
              <w:szCs w:val="24"/>
              <w:lang w:eastAsia="it-IT"/>
              <w14:ligatures w14:val="standardContextual"/>
            </w:rPr>
          </w:pPr>
          <w:hyperlink w:anchor="_Toc192666976">
            <w:r>
              <w:rPr>
                <w:webHidden/>
                <w:rStyle w:val="Saltoaindice"/>
                <w:vanish w:val="false"/>
              </w:rPr>
              <w:t>3.</w:t>
            </w:r>
            <w:r>
              <w:rPr>
                <w:rStyle w:val="Saltoaindice"/>
                <w:rFonts w:cs="" w:cstheme="minorBidi"/>
                <w:b w:val="false"/>
                <w:bCs w:val="false"/>
                <w:caps w:val="false"/>
                <w:smallCaps w:val="false"/>
                <w:color w:val="auto"/>
                <w:kern w:val="2"/>
                <w:sz w:val="24"/>
                <w:szCs w:val="24"/>
                <w:lang w:eastAsia="it-IT"/>
                <w14:ligatures w14:val="standardContextual"/>
              </w:rPr>
              <w:tab/>
            </w:r>
            <w:r>
              <w:rPr>
                <w:rStyle w:val="Saltoaindice"/>
              </w:rPr>
              <w:t>Gestione finanziaria</w:t>
            </w:r>
            <w:r>
              <w:rPr>
                <w:rStyle w:val="Saltoaindice"/>
                <w:vanish w:val="false"/>
              </w:rPr>
              <w:tab/>
              <w:t>1</w:t>
            </w:r>
          </w:hyperlink>
          <w:r>
            <w:rPr>
              <w:vanish w:val="false"/>
            </w:rPr>
            <w:t>9</w:t>
          </w:r>
        </w:p>
        <w:p>
          <w:pPr>
            <w:pStyle w:val="Indice2"/>
            <w:rPr>
              <w:rFonts w:cs="" w:cstheme="minorBidi"/>
              <w:bCs w:val="false"/>
              <w:color w:val="auto"/>
              <w:kern w:val="2"/>
              <w:sz w:val="24"/>
              <w:szCs w:val="24"/>
              <w:lang w:eastAsia="it-IT"/>
              <w14:ligatures w14:val="standardContextual"/>
            </w:rPr>
          </w:pPr>
          <w:hyperlink w:anchor="_Toc192666977">
            <w:r>
              <w:rPr>
                <w:webHidden/>
                <w:rStyle w:val="Saltoaindice"/>
                <w:vanish w:val="false"/>
              </w:rPr>
              <w:t>3.1.</w:t>
            </w:r>
            <w:r>
              <w:rPr>
                <w:rStyle w:val="Saltoaindice"/>
                <w:rFonts w:cs="" w:cstheme="minorBidi"/>
                <w:bCs w:val="false"/>
                <w:color w:val="auto"/>
                <w:kern w:val="2"/>
                <w:sz w:val="24"/>
                <w:szCs w:val="24"/>
                <w:lang w:eastAsia="it-IT"/>
                <w14:ligatures w14:val="standardContextual"/>
              </w:rPr>
              <w:tab/>
            </w:r>
            <w:r>
              <w:rPr>
                <w:rStyle w:val="Saltoaindice"/>
              </w:rPr>
              <w:t>Fondo di cassa</w:t>
            </w:r>
            <w:r>
              <w:rPr>
                <w:rStyle w:val="Saltoaindice"/>
                <w:vanish w:val="false"/>
              </w:rPr>
              <w:tab/>
              <w:t>1</w:t>
            </w:r>
          </w:hyperlink>
          <w:r>
            <w:rPr>
              <w:vanish w:val="false"/>
            </w:rPr>
            <w:t>9</w:t>
          </w:r>
        </w:p>
        <w:p>
          <w:pPr>
            <w:pStyle w:val="Indice2"/>
            <w:rPr>
              <w:rFonts w:cs="" w:cstheme="minorBidi"/>
              <w:bCs w:val="false"/>
              <w:color w:val="auto"/>
              <w:kern w:val="2"/>
              <w:sz w:val="24"/>
              <w:szCs w:val="24"/>
              <w:lang w:eastAsia="it-IT"/>
              <w14:ligatures w14:val="standardContextual"/>
            </w:rPr>
          </w:pPr>
          <w:hyperlink w:anchor="_Toc192666978">
            <w:r>
              <w:rPr>
                <w:webHidden/>
                <w:rStyle w:val="Saltoaindice"/>
                <w:vanish w:val="false"/>
              </w:rPr>
              <w:t>3.2.</w:t>
            </w:r>
            <w:r>
              <w:rPr>
                <w:rStyle w:val="Saltoaindice"/>
                <w:rFonts w:cs="" w:cstheme="minorBidi"/>
                <w:bCs w:val="false"/>
                <w:color w:val="auto"/>
                <w:kern w:val="2"/>
                <w:sz w:val="24"/>
                <w:szCs w:val="24"/>
                <w:lang w:eastAsia="it-IT"/>
                <w14:ligatures w14:val="standardContextual"/>
              </w:rPr>
              <w:tab/>
            </w:r>
            <w:r>
              <w:rPr>
                <w:rStyle w:val="Saltoaindice"/>
              </w:rPr>
              <w:t>Tempestività pagamenti</w:t>
            </w:r>
            <w:r>
              <w:rPr>
                <w:rStyle w:val="Saltoaindice"/>
                <w:vanish w:val="false"/>
              </w:rPr>
              <w:tab/>
              <w:t>2</w:t>
            </w:r>
          </w:hyperlink>
          <w:r>
            <w:rPr>
              <w:vanish w:val="false"/>
            </w:rPr>
            <w:t>2</w:t>
          </w:r>
        </w:p>
        <w:p>
          <w:pPr>
            <w:pStyle w:val="Indice2"/>
            <w:rPr>
              <w:rFonts w:cs="" w:cstheme="minorBidi"/>
              <w:bCs w:val="false"/>
              <w:color w:val="auto"/>
              <w:kern w:val="2"/>
              <w:sz w:val="24"/>
              <w:szCs w:val="24"/>
              <w:lang w:eastAsia="it-IT"/>
              <w14:ligatures w14:val="standardContextual"/>
            </w:rPr>
          </w:pPr>
          <w:hyperlink w:anchor="_Toc192666979">
            <w:r>
              <w:rPr>
                <w:webHidden/>
                <w:rStyle w:val="Saltoaindice"/>
                <w:vanish w:val="false"/>
              </w:rPr>
              <w:t>3.3.</w:t>
            </w:r>
            <w:r>
              <w:rPr>
                <w:rStyle w:val="Saltoaindice"/>
                <w:rFonts w:cs="" w:cstheme="minorBidi"/>
                <w:bCs w:val="false"/>
                <w:color w:val="auto"/>
                <w:kern w:val="2"/>
                <w:sz w:val="24"/>
                <w:szCs w:val="24"/>
                <w:lang w:eastAsia="it-IT"/>
                <w14:ligatures w14:val="standardContextual"/>
              </w:rPr>
              <w:tab/>
            </w:r>
            <w:r>
              <w:rPr>
                <w:rStyle w:val="Saltoaindice"/>
              </w:rPr>
              <w:t>Analisi degli accantonamenti</w:t>
            </w:r>
            <w:r>
              <w:rPr>
                <w:rStyle w:val="Saltoaindice"/>
                <w:vanish w:val="false"/>
              </w:rPr>
              <w:tab/>
              <w:t>2</w:t>
            </w:r>
          </w:hyperlink>
          <w:r>
            <w:rPr>
              <w:vanish w:val="false"/>
            </w:rPr>
            <w:t>3</w:t>
          </w:r>
        </w:p>
        <w:p>
          <w:pPr>
            <w:pStyle w:val="Indice2"/>
            <w:rPr>
              <w:rFonts w:cs="" w:cstheme="minorBidi"/>
              <w:bCs w:val="false"/>
              <w:color w:val="auto"/>
              <w:kern w:val="2"/>
              <w:sz w:val="24"/>
              <w:szCs w:val="24"/>
              <w:lang w:eastAsia="it-IT"/>
              <w14:ligatures w14:val="standardContextual"/>
            </w:rPr>
          </w:pPr>
          <w:hyperlink w:anchor="_Toc192666983">
            <w:r>
              <w:rPr>
                <w:webHidden/>
                <w:rStyle w:val="Saltoaindice"/>
                <w:vanish w:val="false"/>
              </w:rPr>
              <w:t>3.4.</w:t>
            </w:r>
            <w:r>
              <w:rPr>
                <w:rStyle w:val="Saltoaindice"/>
                <w:rFonts w:cs="" w:cstheme="minorBidi"/>
                <w:bCs w:val="false"/>
                <w:color w:val="auto"/>
                <w:kern w:val="2"/>
                <w:sz w:val="24"/>
                <w:szCs w:val="24"/>
                <w:lang w:eastAsia="it-IT"/>
                <w14:ligatures w14:val="standardContextual"/>
              </w:rPr>
              <w:tab/>
            </w:r>
            <w:r>
              <w:rPr>
                <w:rStyle w:val="Saltoaindice"/>
              </w:rPr>
              <w:t>Fondi spese e rischi futuri</w:t>
            </w:r>
            <w:r>
              <w:rPr>
                <w:rStyle w:val="Saltoaindice"/>
                <w:vanish w:val="false"/>
              </w:rPr>
              <w:tab/>
              <w:t>2</w:t>
            </w:r>
          </w:hyperlink>
          <w:r>
            <w:rPr>
              <w:vanish w:val="false"/>
            </w:rPr>
            <w:t>5</w:t>
          </w:r>
        </w:p>
        <w:p>
          <w:pPr>
            <w:pStyle w:val="Indice2"/>
            <w:rPr>
              <w:rFonts w:cs="" w:cstheme="minorBidi"/>
              <w:bCs w:val="false"/>
              <w:color w:val="auto"/>
              <w:kern w:val="2"/>
              <w:sz w:val="24"/>
              <w:szCs w:val="24"/>
              <w:lang w:eastAsia="it-IT"/>
              <w14:ligatures w14:val="standardContextual"/>
            </w:rPr>
          </w:pPr>
          <w:hyperlink w:anchor="_Toc192666988">
            <w:r>
              <w:rPr>
                <w:webHidden/>
                <w:rStyle w:val="Saltoaindice"/>
                <w:vanish w:val="false"/>
              </w:rPr>
              <w:t>3.5.</w:t>
            </w:r>
            <w:r>
              <w:rPr>
                <w:rStyle w:val="Saltoaindice"/>
                <w:rFonts w:cs="" w:cstheme="minorBidi"/>
                <w:bCs w:val="false"/>
                <w:color w:val="auto"/>
                <w:kern w:val="2"/>
                <w:sz w:val="24"/>
                <w:szCs w:val="24"/>
                <w:lang w:eastAsia="it-IT"/>
                <w14:ligatures w14:val="standardContextual"/>
              </w:rPr>
              <w:tab/>
            </w:r>
            <w:r>
              <w:rPr>
                <w:rStyle w:val="Saltoaindice"/>
              </w:rPr>
              <w:t>Analisi delle entrate e delle spese</w:t>
            </w:r>
            <w:r>
              <w:rPr>
                <w:rStyle w:val="Saltoaindice"/>
                <w:vanish w:val="false"/>
              </w:rPr>
              <w:tab/>
              <w:t>2</w:t>
            </w:r>
          </w:hyperlink>
          <w:r>
            <w:rPr>
              <w:vanish w:val="false"/>
            </w:rPr>
            <w:t>7</w:t>
          </w:r>
        </w:p>
        <w:p>
          <w:pPr>
            <w:pStyle w:val="Indice1"/>
            <w:rPr>
              <w:rFonts w:cs="" w:cstheme="minorBidi"/>
              <w:b w:val="false"/>
              <w:b w:val="false"/>
              <w:bCs w:val="false"/>
              <w:caps w:val="false"/>
              <w:smallCaps w:val="false"/>
              <w:color w:val="auto"/>
              <w:kern w:val="2"/>
              <w:sz w:val="24"/>
              <w:szCs w:val="24"/>
              <w:lang w:eastAsia="it-IT"/>
              <w14:ligatures w14:val="standardContextual"/>
            </w:rPr>
          </w:pPr>
          <w:hyperlink w:anchor="_Toc192666991">
            <w:r>
              <w:rPr>
                <w:webHidden/>
                <w:rStyle w:val="Saltoaindice"/>
                <w:vanish w:val="false"/>
              </w:rPr>
              <w:t>4.</w:t>
            </w:r>
            <w:r>
              <w:rPr>
                <w:rStyle w:val="Saltoaindice"/>
                <w:rFonts w:cs="" w:cstheme="minorBidi"/>
                <w:b w:val="false"/>
                <w:bCs w:val="false"/>
                <w:caps w:val="false"/>
                <w:smallCaps w:val="false"/>
                <w:color w:val="auto"/>
                <w:kern w:val="2"/>
                <w:sz w:val="24"/>
                <w:szCs w:val="24"/>
                <w:lang w:eastAsia="it-IT"/>
                <w14:ligatures w14:val="standardContextual"/>
              </w:rPr>
              <w:tab/>
            </w:r>
            <w:r>
              <w:rPr>
                <w:rStyle w:val="Saltoaindice"/>
              </w:rPr>
              <w:t>Analisi indebitamento e gestione del debito</w:t>
            </w:r>
            <w:r>
              <w:rPr>
                <w:rStyle w:val="Saltoaindice"/>
                <w:vanish w:val="false"/>
              </w:rPr>
              <w:tab/>
            </w:r>
          </w:hyperlink>
          <w:r>
            <w:rPr>
              <w:vanish w:val="false"/>
            </w:rPr>
            <w:t>36</w:t>
          </w:r>
        </w:p>
        <w:p>
          <w:pPr>
            <w:pStyle w:val="Indice2"/>
            <w:rPr>
              <w:rFonts w:cs="" w:cstheme="minorBidi"/>
              <w:bCs w:val="false"/>
              <w:color w:val="auto"/>
              <w:kern w:val="2"/>
              <w:sz w:val="24"/>
              <w:szCs w:val="24"/>
              <w:lang w:eastAsia="it-IT"/>
              <w14:ligatures w14:val="standardContextual"/>
            </w:rPr>
          </w:pPr>
          <w:hyperlink w:anchor="_Toc192666992">
            <w:r>
              <w:rPr>
                <w:webHidden/>
                <w:rStyle w:val="Saltoaindice"/>
                <w:vanish w:val="false"/>
              </w:rPr>
              <w:t>4.1.</w:t>
            </w:r>
            <w:r>
              <w:rPr>
                <w:rStyle w:val="Saltoaindice"/>
                <w:rFonts w:cs="" w:cstheme="minorBidi"/>
                <w:bCs w:val="false"/>
                <w:color w:val="auto"/>
                <w:kern w:val="2"/>
                <w:sz w:val="24"/>
                <w:szCs w:val="24"/>
                <w:lang w:eastAsia="it-IT"/>
                <w14:ligatures w14:val="standardContextual"/>
              </w:rPr>
              <w:tab/>
            </w:r>
            <w:r>
              <w:rPr>
                <w:rStyle w:val="Saltoaindice"/>
              </w:rPr>
              <w:t>Concessione di garanzie o altre operazioni di finanziamento</w:t>
            </w:r>
            <w:r>
              <w:rPr>
                <w:rStyle w:val="Saltoaindice"/>
                <w:vanish w:val="false"/>
              </w:rPr>
              <w:tab/>
            </w:r>
          </w:hyperlink>
          <w:r>
            <w:rPr>
              <w:vanish w:val="false"/>
            </w:rPr>
            <w:t>38</w:t>
          </w:r>
        </w:p>
        <w:p>
          <w:pPr>
            <w:pStyle w:val="Indice2"/>
            <w:rPr>
              <w:rFonts w:cs="" w:cstheme="minorBidi"/>
              <w:bCs w:val="false"/>
              <w:color w:val="auto"/>
              <w:kern w:val="2"/>
              <w:sz w:val="24"/>
              <w:szCs w:val="24"/>
              <w:lang w:eastAsia="it-IT"/>
              <w14:ligatures w14:val="standardContextual"/>
            </w:rPr>
          </w:pPr>
          <w:hyperlink w:anchor="_Toc192666993">
            <w:r>
              <w:rPr>
                <w:webHidden/>
                <w:rStyle w:val="Saltoaindice"/>
                <w:vanish w:val="false"/>
              </w:rPr>
              <w:t>4.2.</w:t>
            </w:r>
            <w:r>
              <w:rPr>
                <w:rStyle w:val="Saltoaindice"/>
                <w:rFonts w:cs="" w:cstheme="minorBidi"/>
                <w:bCs w:val="false"/>
                <w:color w:val="auto"/>
                <w:kern w:val="2"/>
                <w:sz w:val="24"/>
                <w:szCs w:val="24"/>
                <w:lang w:eastAsia="it-IT"/>
                <w14:ligatures w14:val="standardContextual"/>
              </w:rPr>
              <w:tab/>
            </w:r>
            <w:r>
              <w:rPr>
                <w:rStyle w:val="Saltoaindice"/>
              </w:rPr>
              <w:t>Strumenti di finanza derivata</w:t>
            </w:r>
            <w:r>
              <w:rPr>
                <w:rStyle w:val="Saltoaindice"/>
                <w:vanish w:val="false"/>
              </w:rPr>
              <w:tab/>
            </w:r>
          </w:hyperlink>
          <w:r>
            <w:rPr>
              <w:vanish w:val="false"/>
            </w:rPr>
            <w:t>38</w:t>
          </w:r>
        </w:p>
        <w:p>
          <w:pPr>
            <w:pStyle w:val="Indice1"/>
            <w:rPr>
              <w:rFonts w:cs="" w:cstheme="minorBidi"/>
              <w:b w:val="false"/>
              <w:b w:val="false"/>
              <w:bCs w:val="false"/>
              <w:caps w:val="false"/>
              <w:smallCaps w:val="false"/>
              <w:color w:val="auto"/>
              <w:kern w:val="2"/>
              <w:sz w:val="24"/>
              <w:szCs w:val="24"/>
              <w:lang w:eastAsia="it-IT"/>
              <w14:ligatures w14:val="standardContextual"/>
            </w:rPr>
          </w:pPr>
          <w:hyperlink w:anchor="_Toc192666994">
            <w:r>
              <w:rPr>
                <w:webHidden/>
                <w:rStyle w:val="Saltoaindice"/>
                <w:vanish w:val="false"/>
              </w:rPr>
              <w:t>5.</w:t>
            </w:r>
            <w:r>
              <w:rPr>
                <w:rStyle w:val="Saltoaindice"/>
                <w:rFonts w:cs="" w:cstheme="minorBidi"/>
                <w:b w:val="false"/>
                <w:bCs w:val="false"/>
                <w:caps w:val="false"/>
                <w:smallCaps w:val="false"/>
                <w:color w:val="auto"/>
                <w:kern w:val="2"/>
                <w:sz w:val="24"/>
                <w:szCs w:val="24"/>
                <w:lang w:eastAsia="it-IT"/>
                <w14:ligatures w14:val="standardContextual"/>
              </w:rPr>
              <w:tab/>
            </w:r>
            <w:r>
              <w:rPr>
                <w:rStyle w:val="Saltoaindice"/>
              </w:rPr>
              <w:t>Risultanze dei fondi connessi all’emergenza sanitaria</w:t>
            </w:r>
            <w:r>
              <w:rPr>
                <w:webHidden/>
              </w:rPr>
              <w:fldChar w:fldCharType="begin"/>
            </w:r>
            <w:r>
              <w:rPr>
                <w:webHidden/>
              </w:rPr>
              <w:instrText xml:space="preserve">PAGEREF _Toc192666994 \h</w:instrText>
            </w:r>
            <w:r>
              <w:rPr>
                <w:webHidden/>
              </w:rPr>
              <w:fldChar w:fldCharType="separate"/>
            </w:r>
            <w:r>
              <w:rPr>
                <w:rStyle w:val="Saltoaindice"/>
                <w:vanish w:val="false"/>
              </w:rPr>
              <w:tab/>
              <w:t>38</w:t>
            </w:r>
            <w:r>
              <w:rPr>
                <w:webHidden/>
              </w:rPr>
              <w:fldChar w:fldCharType="end"/>
            </w:r>
          </w:hyperlink>
        </w:p>
        <w:p>
          <w:pPr>
            <w:pStyle w:val="Indice1"/>
            <w:rPr>
              <w:rFonts w:cs="" w:cstheme="minorBidi"/>
              <w:b w:val="false"/>
              <w:b w:val="false"/>
              <w:bCs w:val="false"/>
              <w:caps w:val="false"/>
              <w:smallCaps w:val="false"/>
              <w:color w:val="auto"/>
              <w:kern w:val="2"/>
              <w:sz w:val="24"/>
              <w:szCs w:val="24"/>
              <w:lang w:eastAsia="it-IT"/>
              <w14:ligatures w14:val="standardContextual"/>
            </w:rPr>
          </w:pPr>
          <w:hyperlink w:anchor="_Toc192666995">
            <w:r>
              <w:rPr>
                <w:webHidden/>
                <w:rStyle w:val="Saltoaindice"/>
                <w:vanish w:val="false"/>
              </w:rPr>
              <w:t>6.</w:t>
            </w:r>
            <w:r>
              <w:rPr>
                <w:rStyle w:val="Saltoaindice"/>
                <w:rFonts w:cs="" w:cstheme="minorBidi"/>
                <w:b w:val="false"/>
                <w:bCs w:val="false"/>
                <w:caps w:val="false"/>
                <w:smallCaps w:val="false"/>
                <w:color w:val="auto"/>
                <w:kern w:val="2"/>
                <w:sz w:val="24"/>
                <w:szCs w:val="24"/>
                <w:lang w:eastAsia="it-IT"/>
                <w14:ligatures w14:val="standardContextual"/>
              </w:rPr>
              <w:tab/>
            </w:r>
            <w:r>
              <w:rPr>
                <w:rStyle w:val="Saltoaindice"/>
              </w:rPr>
              <w:t>Rapporti con organismi partecipati</w:t>
            </w:r>
            <w:r>
              <w:rPr>
                <w:webHidden/>
              </w:rPr>
              <w:fldChar w:fldCharType="begin"/>
            </w:r>
            <w:r>
              <w:rPr>
                <w:webHidden/>
              </w:rPr>
              <w:instrText xml:space="preserve">PAGEREF _Toc192666995 \h</w:instrText>
            </w:r>
            <w:r>
              <w:rPr>
                <w:webHidden/>
              </w:rPr>
              <w:fldChar w:fldCharType="separate"/>
            </w:r>
            <w:r>
              <w:rPr>
                <w:rStyle w:val="Saltoaindice"/>
                <w:vanish w:val="false"/>
              </w:rPr>
              <w:tab/>
              <w:t>39</w:t>
            </w:r>
            <w:r>
              <w:rPr>
                <w:webHidden/>
              </w:rPr>
              <w:fldChar w:fldCharType="end"/>
            </w:r>
          </w:hyperlink>
        </w:p>
        <w:p>
          <w:pPr>
            <w:pStyle w:val="Indice2"/>
            <w:rPr>
              <w:rFonts w:cs="" w:cstheme="minorBidi"/>
              <w:bCs w:val="false"/>
              <w:color w:val="auto"/>
              <w:kern w:val="2"/>
              <w:sz w:val="24"/>
              <w:szCs w:val="24"/>
              <w:lang w:eastAsia="it-IT"/>
              <w14:ligatures w14:val="standardContextual"/>
            </w:rPr>
          </w:pPr>
          <w:hyperlink w:anchor="_Toc192666996">
            <w:r>
              <w:rPr>
                <w:webHidden/>
                <w:rStyle w:val="Saltoaindice"/>
                <w:vanish w:val="false"/>
              </w:rPr>
              <w:t>6.1.</w:t>
            </w:r>
            <w:r>
              <w:rPr>
                <w:rStyle w:val="Saltoaindice"/>
                <w:rFonts w:cs="" w:cstheme="minorBidi"/>
                <w:bCs w:val="false"/>
                <w:color w:val="auto"/>
                <w:kern w:val="2"/>
                <w:sz w:val="24"/>
                <w:szCs w:val="24"/>
                <w:lang w:eastAsia="it-IT"/>
                <w14:ligatures w14:val="standardContextual"/>
              </w:rPr>
              <w:tab/>
            </w:r>
            <w:r>
              <w:rPr>
                <w:rStyle w:val="Saltoaindice"/>
              </w:rPr>
              <w:t>Verifica rapporti di debito e credito con i propri enti strumentali e le società controllate e partecipate</w:t>
            </w:r>
            <w:r>
              <w:rPr>
                <w:webHidden/>
              </w:rPr>
              <w:fldChar w:fldCharType="begin"/>
            </w:r>
            <w:r>
              <w:rPr>
                <w:webHidden/>
              </w:rPr>
              <w:instrText xml:space="preserve">PAGEREF _Toc192666996 \h</w:instrText>
            </w:r>
            <w:r>
              <w:rPr>
                <w:webHidden/>
              </w:rPr>
              <w:fldChar w:fldCharType="separate"/>
            </w:r>
            <w:r>
              <w:rPr>
                <w:rStyle w:val="Saltoaindice"/>
                <w:vanish w:val="false"/>
              </w:rPr>
              <w:tab/>
              <w:t>39</w:t>
            </w:r>
            <w:r>
              <w:rPr>
                <w:webHidden/>
              </w:rPr>
              <w:fldChar w:fldCharType="end"/>
            </w:r>
          </w:hyperlink>
        </w:p>
        <w:p>
          <w:pPr>
            <w:pStyle w:val="Indice2"/>
            <w:rPr>
              <w:rFonts w:cs="" w:cstheme="minorBidi"/>
              <w:bCs w:val="false"/>
              <w:color w:val="auto"/>
              <w:kern w:val="2"/>
              <w:sz w:val="24"/>
              <w:szCs w:val="24"/>
              <w:lang w:eastAsia="it-IT"/>
              <w14:ligatures w14:val="standardContextual"/>
            </w:rPr>
          </w:pPr>
          <w:hyperlink w:anchor="_Toc192666997">
            <w:r>
              <w:rPr>
                <w:webHidden/>
                <w:rStyle w:val="Saltoaindice"/>
                <w:vanish w:val="false"/>
              </w:rPr>
              <w:t>6.2.</w:t>
            </w:r>
            <w:r>
              <w:rPr>
                <w:rStyle w:val="Saltoaindice"/>
                <w:rFonts w:cs="" w:cstheme="minorBidi"/>
                <w:bCs w:val="false"/>
                <w:color w:val="auto"/>
                <w:kern w:val="2"/>
                <w:sz w:val="24"/>
                <w:szCs w:val="24"/>
                <w:lang w:eastAsia="it-IT"/>
                <w14:ligatures w14:val="standardContextual"/>
              </w:rPr>
              <w:tab/>
            </w:r>
            <w:r>
              <w:rPr>
                <w:rStyle w:val="Saltoaindice"/>
              </w:rPr>
              <w:t>Costituzione di società e acquisto di partecipazioni societarie</w:t>
            </w:r>
            <w:r>
              <w:rPr>
                <w:rStyle w:val="Saltoaindice"/>
                <w:vanish w:val="false"/>
              </w:rPr>
              <w:tab/>
              <w:t>3</w:t>
            </w:r>
          </w:hyperlink>
          <w:r>
            <w:rPr>
              <w:vanish w:val="false"/>
            </w:rPr>
            <w:t>9</w:t>
          </w:r>
        </w:p>
        <w:p>
          <w:pPr>
            <w:pStyle w:val="Indice2"/>
            <w:rPr>
              <w:rFonts w:cs="" w:cstheme="minorBidi"/>
              <w:bCs w:val="false"/>
              <w:color w:val="auto"/>
              <w:kern w:val="2"/>
              <w:sz w:val="24"/>
              <w:szCs w:val="24"/>
              <w:lang w:eastAsia="it-IT"/>
              <w14:ligatures w14:val="standardContextual"/>
            </w:rPr>
          </w:pPr>
          <w:hyperlink w:anchor="_Toc192666998">
            <w:r>
              <w:rPr>
                <w:webHidden/>
                <w:rStyle w:val="Saltoaindice"/>
                <w:vanish w:val="false"/>
              </w:rPr>
              <w:t>6.3.</w:t>
            </w:r>
            <w:r>
              <w:rPr>
                <w:rStyle w:val="Saltoaindice"/>
                <w:rFonts w:cs="" w:cstheme="minorBidi"/>
                <w:bCs w:val="false"/>
                <w:color w:val="auto"/>
                <w:kern w:val="2"/>
                <w:sz w:val="24"/>
                <w:szCs w:val="24"/>
                <w:lang w:eastAsia="it-IT"/>
                <w14:ligatures w14:val="standardContextual"/>
              </w:rPr>
              <w:tab/>
            </w:r>
            <w:r>
              <w:rPr>
                <w:rStyle w:val="Saltoaindice"/>
              </w:rPr>
              <w:t>Razionalizzazione periodica delle partecipazioni pubbliche</w:t>
            </w:r>
            <w:r>
              <w:rPr>
                <w:rStyle w:val="Saltoaindice"/>
                <w:vanish w:val="false"/>
              </w:rPr>
              <w:tab/>
              <w:t>3</w:t>
            </w:r>
          </w:hyperlink>
          <w:r>
            <w:rPr>
              <w:vanish w:val="false"/>
            </w:rPr>
            <w:t>9</w:t>
          </w:r>
        </w:p>
        <w:p>
          <w:pPr>
            <w:pStyle w:val="Indice2"/>
            <w:rPr>
              <w:rFonts w:cs="" w:cstheme="minorBidi"/>
              <w:bCs w:val="false"/>
              <w:color w:val="auto"/>
              <w:kern w:val="2"/>
              <w:sz w:val="24"/>
              <w:szCs w:val="24"/>
              <w:lang w:eastAsia="it-IT"/>
              <w14:ligatures w14:val="standardContextual"/>
            </w:rPr>
          </w:pPr>
          <w:hyperlink w:anchor="_Toc192666999">
            <w:r>
              <w:rPr>
                <w:webHidden/>
                <w:rStyle w:val="Saltoaindice"/>
                <w:vanish w:val="false"/>
              </w:rPr>
              <w:t>6.4.</w:t>
            </w:r>
            <w:r>
              <w:rPr>
                <w:rStyle w:val="Saltoaindice"/>
                <w:rFonts w:cs="" w:cstheme="minorBidi"/>
                <w:bCs w:val="false"/>
                <w:color w:val="auto"/>
                <w:kern w:val="2"/>
                <w:sz w:val="24"/>
                <w:szCs w:val="24"/>
                <w:lang w:eastAsia="it-IT"/>
                <w14:ligatures w14:val="standardContextual"/>
              </w:rPr>
              <w:tab/>
            </w:r>
            <w:r>
              <w:rPr>
                <w:rStyle w:val="Saltoaindice"/>
              </w:rPr>
              <w:t>Ulteriori controlli in materia di organismi partecipati</w:t>
            </w:r>
            <w:r>
              <w:rPr>
                <w:webHidden/>
              </w:rPr>
              <w:fldChar w:fldCharType="begin"/>
            </w:r>
            <w:r>
              <w:rPr>
                <w:webHidden/>
              </w:rPr>
              <w:instrText xml:space="preserve">PAGEREF _Toc192666999 \h</w:instrText>
            </w:r>
            <w:r>
              <w:rPr>
                <w:webHidden/>
              </w:rPr>
              <w:fldChar w:fldCharType="separate"/>
            </w:r>
            <w:r>
              <w:rPr>
                <w:rStyle w:val="Saltoaindice"/>
                <w:vanish w:val="false"/>
              </w:rPr>
              <w:tab/>
              <w:t>40</w:t>
            </w:r>
            <w:r>
              <w:rPr>
                <w:webHidden/>
              </w:rPr>
              <w:fldChar w:fldCharType="end"/>
            </w:r>
          </w:hyperlink>
        </w:p>
        <w:p>
          <w:pPr>
            <w:pStyle w:val="Indice1"/>
            <w:rPr>
              <w:rFonts w:cs="" w:cstheme="minorBidi"/>
              <w:b w:val="false"/>
              <w:b w:val="false"/>
              <w:bCs w:val="false"/>
              <w:caps w:val="false"/>
              <w:smallCaps w:val="false"/>
              <w:color w:val="auto"/>
              <w:kern w:val="2"/>
              <w:sz w:val="24"/>
              <w:szCs w:val="24"/>
              <w:lang w:eastAsia="it-IT"/>
              <w14:ligatures w14:val="standardContextual"/>
            </w:rPr>
          </w:pPr>
          <w:hyperlink w:anchor="_Toc192667000">
            <w:r>
              <w:rPr>
                <w:webHidden/>
                <w:rStyle w:val="Saltoaindice"/>
                <w:vanish w:val="false"/>
              </w:rPr>
              <w:t>7.</w:t>
            </w:r>
            <w:r>
              <w:rPr>
                <w:rStyle w:val="Saltoaindice"/>
                <w:rFonts w:cs="" w:cstheme="minorBidi"/>
                <w:b w:val="false"/>
                <w:bCs w:val="false"/>
                <w:caps w:val="false"/>
                <w:smallCaps w:val="false"/>
                <w:color w:val="auto"/>
                <w:kern w:val="2"/>
                <w:sz w:val="24"/>
                <w:szCs w:val="24"/>
                <w:lang w:eastAsia="it-IT"/>
                <w14:ligatures w14:val="standardContextual"/>
              </w:rPr>
              <w:tab/>
            </w:r>
            <w:r>
              <w:rPr>
                <w:rStyle w:val="Saltoaindice"/>
              </w:rPr>
              <w:t>Contabilità economico-patrimoniale</w:t>
            </w:r>
            <w:r>
              <w:rPr>
                <w:rStyle w:val="Saltoaindice"/>
                <w:vanish w:val="false"/>
              </w:rPr>
              <w:tab/>
            </w:r>
          </w:hyperlink>
          <w:r>
            <w:rPr>
              <w:vanish w:val="false"/>
            </w:rPr>
            <w:t>40</w:t>
          </w:r>
        </w:p>
        <w:p>
          <w:pPr>
            <w:pStyle w:val="Indice1"/>
            <w:rPr>
              <w:rFonts w:cs="" w:cstheme="minorBidi"/>
              <w:b w:val="false"/>
              <w:b w:val="false"/>
              <w:bCs w:val="false"/>
              <w:caps w:val="false"/>
              <w:smallCaps w:val="false"/>
              <w:color w:val="auto"/>
              <w:kern w:val="2"/>
              <w:sz w:val="24"/>
              <w:szCs w:val="24"/>
              <w:lang w:eastAsia="it-IT"/>
              <w14:ligatures w14:val="standardContextual"/>
            </w:rPr>
          </w:pPr>
          <w:hyperlink w:anchor="_Toc192667001">
            <w:r>
              <w:rPr>
                <w:webHidden/>
                <w:rStyle w:val="Saltoaindice"/>
                <w:vanish w:val="false"/>
              </w:rPr>
              <w:t>8.</w:t>
            </w:r>
            <w:r>
              <w:rPr>
                <w:rStyle w:val="Saltoaindice"/>
                <w:rFonts w:cs="" w:cstheme="minorBidi"/>
                <w:b w:val="false"/>
                <w:bCs w:val="false"/>
                <w:caps w:val="false"/>
                <w:smallCaps w:val="false"/>
                <w:color w:val="auto"/>
                <w:kern w:val="2"/>
                <w:sz w:val="24"/>
                <w:szCs w:val="24"/>
                <w:lang w:eastAsia="it-IT"/>
                <w14:ligatures w14:val="standardContextual"/>
              </w:rPr>
              <w:tab/>
            </w:r>
            <w:r>
              <w:rPr>
                <w:rStyle w:val="Saltoaindice"/>
              </w:rPr>
              <w:t>PNRR e PNC</w:t>
            </w:r>
            <w:r>
              <w:rPr>
                <w:rStyle w:val="Saltoaindice"/>
                <w:vanish w:val="false"/>
              </w:rPr>
              <w:tab/>
            </w:r>
          </w:hyperlink>
          <w:r>
            <w:rPr>
              <w:vanish w:val="false"/>
            </w:rPr>
            <w:t>47</w:t>
          </w:r>
        </w:p>
        <w:p>
          <w:pPr>
            <w:pStyle w:val="Indice1"/>
            <w:rPr>
              <w:rFonts w:cs="" w:cstheme="minorBidi"/>
              <w:b w:val="false"/>
              <w:b w:val="false"/>
              <w:bCs w:val="false"/>
              <w:caps w:val="false"/>
              <w:smallCaps w:val="false"/>
              <w:color w:val="auto"/>
              <w:kern w:val="2"/>
              <w:sz w:val="24"/>
              <w:szCs w:val="24"/>
              <w:lang w:eastAsia="it-IT"/>
              <w14:ligatures w14:val="standardContextual"/>
            </w:rPr>
          </w:pPr>
          <w:hyperlink w:anchor="_Toc192667002">
            <w:r>
              <w:rPr>
                <w:webHidden/>
                <w:rStyle w:val="Saltoaindice"/>
                <w:vanish w:val="false"/>
              </w:rPr>
              <w:t>9.</w:t>
            </w:r>
            <w:r>
              <w:rPr>
                <w:rStyle w:val="Saltoaindice"/>
                <w:rFonts w:cs="" w:cstheme="minorBidi"/>
                <w:b w:val="false"/>
                <w:bCs w:val="false"/>
                <w:caps w:val="false"/>
                <w:smallCaps w:val="false"/>
                <w:color w:val="auto"/>
                <w:kern w:val="2"/>
                <w:sz w:val="24"/>
                <w:szCs w:val="24"/>
                <w:lang w:eastAsia="it-IT"/>
                <w14:ligatures w14:val="standardContextual"/>
              </w:rPr>
              <w:tab/>
            </w:r>
            <w:r>
              <w:rPr>
                <w:rStyle w:val="Saltoaindice"/>
              </w:rPr>
              <w:t>Relazione della giunta al rendiconto</w:t>
            </w:r>
            <w:r>
              <w:rPr>
                <w:rStyle w:val="Saltoaindice"/>
                <w:vanish w:val="false"/>
              </w:rPr>
              <w:tab/>
            </w:r>
          </w:hyperlink>
          <w:r>
            <w:rPr>
              <w:vanish w:val="false"/>
            </w:rPr>
            <w:t>48</w:t>
          </w:r>
        </w:p>
        <w:p>
          <w:pPr>
            <w:pStyle w:val="Indice1"/>
            <w:rPr>
              <w:rFonts w:cs="" w:cstheme="minorBidi"/>
              <w:b w:val="false"/>
              <w:b w:val="false"/>
              <w:bCs w:val="false"/>
              <w:caps w:val="false"/>
              <w:smallCaps w:val="false"/>
              <w:color w:val="auto"/>
              <w:kern w:val="2"/>
              <w:sz w:val="24"/>
              <w:szCs w:val="24"/>
              <w:lang w:eastAsia="it-IT"/>
              <w14:ligatures w14:val="standardContextual"/>
            </w:rPr>
          </w:pPr>
          <w:hyperlink w:anchor="_Toc192667004">
            <w:r>
              <w:rPr>
                <w:webHidden/>
                <w:rStyle w:val="Saltoaindice"/>
                <w:vanish w:val="false"/>
              </w:rPr>
              <w:t>10.</w:t>
            </w:r>
            <w:r>
              <w:rPr>
                <w:rStyle w:val="Saltoaindice"/>
                <w:rFonts w:cs="" w:cstheme="minorBidi"/>
                <w:b w:val="false"/>
                <w:bCs w:val="false"/>
                <w:caps w:val="false"/>
                <w:smallCaps w:val="false"/>
                <w:color w:val="auto"/>
                <w:kern w:val="2"/>
                <w:sz w:val="24"/>
                <w:szCs w:val="24"/>
                <w:lang w:eastAsia="it-IT"/>
                <w14:ligatures w14:val="standardContextual"/>
              </w:rPr>
              <w:tab/>
            </w:r>
            <w:r>
              <w:rPr>
                <w:rStyle w:val="Saltoaindice"/>
              </w:rPr>
              <w:t>Conclusioni</w:t>
            </w:r>
            <w:r>
              <w:rPr>
                <w:rStyle w:val="Saltoaindice"/>
                <w:vanish w:val="false"/>
              </w:rPr>
              <w:tab/>
            </w:r>
          </w:hyperlink>
          <w:r>
            <w:rPr>
              <w:vanish w:val="false"/>
            </w:rPr>
            <w:t>49</w:t>
          </w:r>
          <w:r>
            <w:rPr>
              <w:vanish w:val="false"/>
            </w:rPr>
            <w:fldChar w:fldCharType="end"/>
          </w:r>
        </w:p>
        <w:p>
          <w:pPr>
            <w:sectPr>
              <w:headerReference w:type="default" r:id="rId3"/>
              <w:footerReference w:type="default" r:id="rId4"/>
              <w:type w:val="nextPage"/>
              <w:pgSz w:w="11906" w:h="16838"/>
              <w:pgMar w:left="1418" w:right="1418" w:gutter="0" w:header="709" w:top="1985" w:footer="485" w:bottom="1418"/>
              <w:pgNumType w:fmt="upperRoman"/>
              <w:formProt w:val="false"/>
              <w:textDirection w:val="lrTb"/>
              <w:docGrid w:type="default" w:linePitch="360" w:charSpace="0"/>
            </w:sectPr>
          </w:pPr>
        </w:p>
      </w:sdtContent>
    </w:sdt>
    <w:p>
      <w:pPr>
        <w:pStyle w:val="Normal"/>
        <w:tabs>
          <w:tab w:val="clear" w:pos="708"/>
          <w:tab w:val="left" w:pos="0" w:leader="none"/>
          <w:tab w:val="left" w:pos="1418" w:leader="none"/>
          <w:tab w:val="left" w:pos="2835" w:leader="none"/>
          <w:tab w:val="left" w:pos="4252" w:leader="none"/>
        </w:tabs>
        <w:suppressAutoHyphens w:val="true"/>
        <w:spacing w:lineRule="atLeast" w:line="25" w:before="220" w:after="0"/>
        <w:ind w:left="1" w:hanging="3"/>
        <w:jc w:val="center"/>
        <w:textAlignment w:val="top"/>
        <w:rPr>
          <w:rFonts w:ascii="Arial" w:hAnsi="Arial" w:eastAsia="Times New Roman" w:cs="Arial"/>
          <w:b/>
          <w:b/>
          <w:color w:val="auto"/>
          <w:sz w:val="32"/>
          <w:szCs w:val="20"/>
          <w:lang w:eastAsia="it-IT"/>
        </w:rPr>
      </w:pPr>
      <w:r>
        <w:rPr>
          <w:rFonts w:eastAsia="Times New Roman" w:cs="Arial" w:ascii="Arial" w:hAnsi="Arial"/>
          <w:b/>
          <w:color w:val="auto"/>
          <w:position w:val="-1"/>
          <w:sz w:val="32"/>
          <w:szCs w:val="24"/>
          <w:lang w:eastAsia="it-IT"/>
        </w:rPr>
        <w:t>Comune di Trezzano sul Naviglio</w:t>
      </w:r>
    </w:p>
    <w:p>
      <w:pPr>
        <w:pStyle w:val="Normal"/>
        <w:tabs>
          <w:tab w:val="clear" w:pos="708"/>
          <w:tab w:val="left" w:pos="0" w:leader="none"/>
          <w:tab w:val="left" w:pos="1418" w:leader="none"/>
          <w:tab w:val="left" w:pos="2835" w:leader="none"/>
          <w:tab w:val="left" w:pos="4252" w:leader="none"/>
        </w:tabs>
        <w:suppressAutoHyphens w:val="true"/>
        <w:spacing w:lineRule="atLeast" w:line="25" w:before="175" w:after="240"/>
        <w:ind w:left="1" w:hanging="3"/>
        <w:jc w:val="center"/>
        <w:textAlignment w:val="top"/>
        <w:rPr>
          <w:rFonts w:ascii="Arial" w:hAnsi="Arial" w:eastAsia="Times New Roman" w:cs="Arial"/>
          <w:b/>
          <w:b/>
          <w:color w:val="auto"/>
          <w:sz w:val="32"/>
          <w:szCs w:val="32"/>
          <w:lang w:eastAsia="it-IT"/>
        </w:rPr>
      </w:pPr>
      <w:r>
        <w:rPr>
          <w:rFonts w:eastAsia="Times New Roman" w:cs="Arial" w:ascii="Arial" w:hAnsi="Arial"/>
          <w:b/>
          <w:color w:val="auto"/>
          <w:position w:val="-1"/>
          <w:sz w:val="32"/>
          <w:szCs w:val="32"/>
          <w:lang w:eastAsia="it-IT"/>
        </w:rPr>
        <w:t>Organo di revisione</w:t>
      </w:r>
    </w:p>
    <w:p>
      <w:pPr>
        <w:pStyle w:val="Normal"/>
        <w:tabs>
          <w:tab w:val="clear" w:pos="708"/>
          <w:tab w:val="left" w:pos="0" w:leader="none"/>
          <w:tab w:val="left" w:pos="1418" w:leader="none"/>
          <w:tab w:val="left" w:pos="2835" w:leader="none"/>
          <w:tab w:val="left" w:pos="4252" w:leader="none"/>
        </w:tabs>
        <w:suppressAutoHyphens w:val="true"/>
        <w:spacing w:lineRule="atLeast" w:line="25" w:before="175" w:after="0"/>
        <w:ind w:hanging="2"/>
        <w:jc w:val="center"/>
        <w:textAlignment w:val="top"/>
        <w:rPr>
          <w:rFonts w:ascii="Arial" w:hAnsi="Arial" w:eastAsia="Times New Roman" w:cs="Arial"/>
          <w:b/>
          <w:b/>
          <w:color w:val="auto"/>
          <w:sz w:val="24"/>
          <w:szCs w:val="20"/>
          <w:lang w:eastAsia="it-IT"/>
        </w:rPr>
      </w:pPr>
      <w:r>
        <w:rPr>
          <w:rFonts w:eastAsia="Times New Roman" w:cs="Arial" w:ascii="Arial" w:hAnsi="Arial"/>
          <w:b/>
          <w:color w:val="auto"/>
          <w:position w:val="-1"/>
          <w:sz w:val="24"/>
          <w:szCs w:val="24"/>
          <w:lang w:eastAsia="it-IT"/>
        </w:rPr>
        <w:t>Verbale n. 7 del</w:t>
      </w:r>
      <w:r>
        <w:rPr>
          <w:rFonts w:eastAsia="Times New Roman" w:cs="Arial" w:ascii="Arial" w:hAnsi="Arial"/>
          <w:b/>
          <w:color w:val="000000"/>
          <w:position w:val="-1"/>
          <w:sz w:val="24"/>
          <w:szCs w:val="24"/>
          <w:shd w:fill="auto" w:val="clear"/>
          <w:lang w:eastAsia="it-IT"/>
        </w:rPr>
        <w:t xml:space="preserve"> </w:t>
      </w:r>
      <w:r>
        <w:rPr>
          <w:rFonts w:eastAsia="Times New Roman" w:cs="Arial" w:ascii="Arial" w:hAnsi="Arial"/>
          <w:b/>
          <w:color w:val="000000"/>
          <w:position w:val="-1"/>
          <w:sz w:val="24"/>
          <w:szCs w:val="24"/>
          <w:shd w:fill="FFFF00" w:val="clear"/>
          <w:lang w:eastAsia="it-IT"/>
        </w:rPr>
        <w:t>04/04/2025</w:t>
      </w:r>
    </w:p>
    <w:p>
      <w:pPr>
        <w:pStyle w:val="Normal"/>
        <w:tabs>
          <w:tab w:val="clear" w:pos="708"/>
          <w:tab w:val="left" w:pos="0" w:leader="none"/>
          <w:tab w:val="left" w:pos="1418" w:leader="none"/>
          <w:tab w:val="left" w:pos="2835" w:leader="none"/>
          <w:tab w:val="left" w:pos="4252" w:leader="none"/>
        </w:tabs>
        <w:suppressAutoHyphens w:val="true"/>
        <w:spacing w:lineRule="auto" w:line="360" w:before="0" w:after="120"/>
        <w:textAlignment w:val="top"/>
        <w:rPr>
          <w:rFonts w:ascii="Arial" w:hAnsi="Arial" w:eastAsia="Times New Roman" w:cs="Arial"/>
          <w:b/>
          <w:b/>
          <w:bCs/>
          <w:color w:val="auto"/>
          <w:sz w:val="24"/>
          <w:szCs w:val="24"/>
          <w:lang w:eastAsia="it-IT"/>
        </w:rPr>
      </w:pPr>
      <w:r>
        <w:rPr>
          <w:rFonts w:eastAsia="Times New Roman" w:cs="Arial" w:ascii="Arial" w:hAnsi="Arial"/>
          <w:b/>
          <w:bCs/>
          <w:color w:val="auto"/>
          <w:sz w:val="24"/>
          <w:szCs w:val="24"/>
          <w:lang w:eastAsia="it-IT"/>
        </w:rPr>
      </w:r>
    </w:p>
    <w:p>
      <w:pPr>
        <w:pStyle w:val="Normal"/>
        <w:tabs>
          <w:tab w:val="clear" w:pos="708"/>
          <w:tab w:val="left" w:pos="0" w:leader="none"/>
          <w:tab w:val="left" w:pos="1418" w:leader="none"/>
          <w:tab w:val="left" w:pos="2835" w:leader="none"/>
          <w:tab w:val="left" w:pos="4252" w:leader="none"/>
        </w:tabs>
        <w:suppressAutoHyphens w:val="true"/>
        <w:spacing w:lineRule="auto" w:line="360" w:before="0" w:after="120"/>
        <w:textAlignment w:val="top"/>
        <w:rPr>
          <w:rFonts w:ascii="Arial" w:hAnsi="Arial" w:eastAsia="Times New Roman" w:cs="Arial"/>
          <w:b/>
          <w:b/>
          <w:bCs/>
          <w:color w:val="auto"/>
          <w:sz w:val="24"/>
          <w:szCs w:val="24"/>
          <w:lang w:eastAsia="it-IT"/>
        </w:rPr>
      </w:pPr>
      <w:r>
        <w:rPr>
          <w:rFonts w:eastAsia="Times New Roman" w:cs="Arial" w:ascii="Arial" w:hAnsi="Arial"/>
          <w:b/>
          <w:bCs/>
          <w:color w:val="auto"/>
          <w:position w:val="-1"/>
          <w:sz w:val="24"/>
          <w:szCs w:val="24"/>
          <w:lang w:eastAsia="it-IT"/>
        </w:rPr>
        <w:tab/>
        <w:t xml:space="preserve">               RELAZIONE SUL RENDICONTO 2024</w:t>
      </w:r>
    </w:p>
    <w:p>
      <w:pPr>
        <w:pStyle w:val="Normal"/>
        <w:tabs>
          <w:tab w:val="clear" w:pos="708"/>
          <w:tab w:val="left" w:pos="0" w:leader="none"/>
          <w:tab w:val="left" w:pos="1418" w:leader="none"/>
          <w:tab w:val="left" w:pos="2835" w:leader="none"/>
          <w:tab w:val="left" w:pos="4252" w:leader="none"/>
          <w:tab w:val="left" w:pos="6652" w:leader="none"/>
        </w:tabs>
        <w:suppressAutoHyphens w:val="true"/>
        <w:spacing w:lineRule="auto" w:line="240" w:before="0" w:after="120"/>
        <w:ind w:hanging="2"/>
        <w:textAlignment w:val="top"/>
        <w:rPr>
          <w:rFonts w:ascii="Arial" w:hAnsi="Arial" w:eastAsia="Times New Roman" w:cs="Arial"/>
          <w:color w:val="auto"/>
          <w:sz w:val="24"/>
          <w:szCs w:val="24"/>
          <w:lang w:eastAsia="it-IT"/>
        </w:rPr>
      </w:pPr>
      <w:r>
        <w:rPr>
          <w:rFonts w:eastAsia="Times New Roman" w:cs="Arial" w:ascii="Arial" w:hAnsi="Arial"/>
          <w:color w:val="auto"/>
          <w:position w:val="-1"/>
          <w:sz w:val="24"/>
          <w:szCs w:val="24"/>
          <w:lang w:eastAsia="it-IT"/>
        </w:rPr>
        <w:t>L’Organo di revisione ha esaminato lo schema di rendiconto dell’esercizio finanziario per l’anno 2024, unitamente agli allegati di legge, e la proposta di deliberazione consiliare del rendiconto della gestione 2024 operando ai sensi e nel rispetto:</w:t>
      </w:r>
    </w:p>
    <w:p>
      <w:pPr>
        <w:pStyle w:val="Normal"/>
        <w:numPr>
          <w:ilvl w:val="0"/>
          <w:numId w:val="3"/>
        </w:numPr>
        <w:tabs>
          <w:tab w:val="left" w:pos="708" w:leader="none"/>
          <w:tab w:val="left" w:pos="1418" w:leader="none"/>
          <w:tab w:val="left" w:pos="2835" w:leader="none"/>
          <w:tab w:val="left" w:pos="4252" w:leader="none"/>
        </w:tabs>
        <w:suppressAutoHyphens w:val="true"/>
        <w:spacing w:lineRule="auto" w:line="240" w:before="0" w:after="120"/>
        <w:ind w:left="0" w:hanging="2"/>
        <w:textAlignment w:val="top"/>
        <w:rPr>
          <w:rFonts w:ascii="Arial" w:hAnsi="Arial" w:eastAsia="Times New Roman" w:cs="Arial"/>
          <w:color w:val="auto"/>
          <w:sz w:val="24"/>
          <w:szCs w:val="24"/>
          <w:lang w:eastAsia="it-IT"/>
        </w:rPr>
      </w:pPr>
      <w:r>
        <w:rPr>
          <w:rFonts w:eastAsia="Times New Roman" w:cs="Arial" w:ascii="Arial" w:hAnsi="Arial"/>
          <w:color w:val="auto"/>
          <w:position w:val="-1"/>
          <w:sz w:val="24"/>
          <w:szCs w:val="24"/>
          <w:lang w:eastAsia="it-IT"/>
        </w:rPr>
        <w:t>del d.lgs. 18 agosto 2000, n. 267 «Testo unico delle leggi sull'ordinamento degli enti locali»;</w:t>
      </w:r>
    </w:p>
    <w:p>
      <w:pPr>
        <w:pStyle w:val="Normal"/>
        <w:numPr>
          <w:ilvl w:val="0"/>
          <w:numId w:val="3"/>
        </w:numPr>
        <w:tabs>
          <w:tab w:val="left" w:pos="708" w:leader="none"/>
          <w:tab w:val="left" w:pos="1418" w:leader="none"/>
          <w:tab w:val="left" w:pos="2835" w:leader="none"/>
          <w:tab w:val="left" w:pos="4252" w:leader="none"/>
        </w:tabs>
        <w:suppressAutoHyphens w:val="true"/>
        <w:spacing w:lineRule="auto" w:line="240" w:before="0" w:after="120"/>
        <w:ind w:left="0" w:hanging="2"/>
        <w:textAlignment w:val="top"/>
        <w:rPr>
          <w:rFonts w:ascii="Arial" w:hAnsi="Arial" w:eastAsia="Times New Roman" w:cs="Arial"/>
          <w:color w:val="auto"/>
          <w:sz w:val="24"/>
          <w:szCs w:val="24"/>
          <w:lang w:eastAsia="it-IT"/>
        </w:rPr>
      </w:pPr>
      <w:r>
        <w:rPr>
          <w:rFonts w:eastAsia="Times New Roman" w:cs="Arial" w:ascii="Arial" w:hAnsi="Arial"/>
          <w:color w:val="auto"/>
          <w:position w:val="-1"/>
          <w:sz w:val="24"/>
          <w:szCs w:val="24"/>
          <w:lang w:eastAsia="it-IT"/>
        </w:rPr>
        <w:t>del d.lgs. 23 giugno 2011 n.118 e dei principi contabili 4/2 e 4/3;</w:t>
      </w:r>
    </w:p>
    <w:p>
      <w:pPr>
        <w:pStyle w:val="Normal"/>
        <w:numPr>
          <w:ilvl w:val="0"/>
          <w:numId w:val="3"/>
        </w:numPr>
        <w:tabs>
          <w:tab w:val="left" w:pos="708" w:leader="none"/>
          <w:tab w:val="left" w:pos="1418" w:leader="none"/>
          <w:tab w:val="left" w:pos="2835" w:leader="none"/>
          <w:tab w:val="left" w:pos="4252" w:leader="none"/>
        </w:tabs>
        <w:suppressAutoHyphens w:val="true"/>
        <w:spacing w:lineRule="auto" w:line="240" w:before="0" w:after="120"/>
        <w:ind w:left="0" w:hanging="2"/>
        <w:textAlignment w:val="top"/>
        <w:rPr>
          <w:rFonts w:ascii="Arial" w:hAnsi="Arial" w:eastAsia="Times New Roman" w:cs="Arial"/>
          <w:color w:val="auto"/>
          <w:sz w:val="24"/>
          <w:szCs w:val="24"/>
          <w:lang w:eastAsia="it-IT"/>
        </w:rPr>
      </w:pPr>
      <w:r>
        <w:rPr>
          <w:rFonts w:eastAsia="Times New Roman" w:cs="Arial" w:ascii="Arial" w:hAnsi="Arial"/>
          <w:color w:val="auto"/>
          <w:position w:val="-1"/>
          <w:sz w:val="24"/>
          <w:szCs w:val="24"/>
          <w:lang w:eastAsia="it-IT"/>
        </w:rPr>
        <w:t>degli schemi di rendiconto di cui all’allegato 10 al d.lgs.118/2011;</w:t>
      </w:r>
    </w:p>
    <w:p>
      <w:pPr>
        <w:pStyle w:val="Normal"/>
        <w:numPr>
          <w:ilvl w:val="0"/>
          <w:numId w:val="3"/>
        </w:numPr>
        <w:tabs>
          <w:tab w:val="left" w:pos="708" w:leader="none"/>
          <w:tab w:val="left" w:pos="1759" w:leader="none"/>
          <w:tab w:val="left" w:pos="3176" w:leader="none"/>
          <w:tab w:val="left" w:pos="4593" w:leader="none"/>
        </w:tabs>
        <w:suppressAutoHyphens w:val="true"/>
        <w:spacing w:lineRule="auto" w:line="240" w:before="0" w:after="120"/>
        <w:ind w:left="0" w:hanging="2"/>
        <w:jc w:val="left"/>
        <w:textAlignment w:val="top"/>
        <w:rPr>
          <w:rFonts w:ascii="Arial" w:hAnsi="Arial" w:eastAsia="Times New Roman" w:cs="Arial"/>
          <w:color w:val="auto"/>
          <w:sz w:val="24"/>
          <w:szCs w:val="24"/>
          <w:lang w:eastAsia="it-IT"/>
        </w:rPr>
      </w:pPr>
      <w:r>
        <w:rPr>
          <w:rFonts w:eastAsia="Times New Roman" w:cs="Arial" w:ascii="Arial" w:hAnsi="Arial"/>
          <w:color w:val="auto"/>
          <w:position w:val="-1"/>
          <w:sz w:val="24"/>
          <w:szCs w:val="24"/>
          <w:lang w:eastAsia="it-IT"/>
        </w:rPr>
        <w:t>dello statuto comunale e del regolamento di contabilità;</w:t>
      </w:r>
    </w:p>
    <w:p>
      <w:pPr>
        <w:pStyle w:val="Normal"/>
        <w:numPr>
          <w:ilvl w:val="0"/>
          <w:numId w:val="3"/>
        </w:numPr>
        <w:tabs>
          <w:tab w:val="left" w:pos="708" w:leader="none"/>
          <w:tab w:val="left" w:pos="1759" w:leader="none"/>
          <w:tab w:val="left" w:pos="3176" w:leader="none"/>
          <w:tab w:val="left" w:pos="4593" w:leader="none"/>
        </w:tabs>
        <w:suppressAutoHyphens w:val="true"/>
        <w:spacing w:lineRule="auto" w:line="240" w:before="0" w:after="120"/>
        <w:ind w:left="0" w:hanging="2"/>
        <w:jc w:val="left"/>
        <w:textAlignment w:val="top"/>
        <w:rPr>
          <w:rFonts w:ascii="Arial" w:hAnsi="Arial" w:eastAsia="Times New Roman" w:cs="Arial"/>
          <w:color w:val="auto"/>
          <w:sz w:val="24"/>
          <w:szCs w:val="24"/>
          <w:lang w:eastAsia="it-IT"/>
        </w:rPr>
      </w:pPr>
      <w:r>
        <w:rPr>
          <w:rFonts w:eastAsia="Times New Roman" w:cs="Arial" w:ascii="Arial" w:hAnsi="Arial"/>
          <w:color w:val="auto"/>
          <w:position w:val="-1"/>
          <w:sz w:val="24"/>
          <w:szCs w:val="24"/>
          <w:lang w:eastAsia="it-IT"/>
        </w:rPr>
        <w:t>dei principi di vigilanza e controllo dell’Organo di revisione degli enti locali approvati dal Consiglio nazionale dei dottori commercialisti ed esperti contabili;</w:t>
      </w:r>
    </w:p>
    <w:p>
      <w:pPr>
        <w:pStyle w:val="Normal"/>
        <w:tabs>
          <w:tab w:val="clear" w:pos="708"/>
          <w:tab w:val="left" w:pos="0" w:leader="none"/>
          <w:tab w:val="left" w:pos="1247" w:leader="none"/>
          <w:tab w:val="left" w:pos="3969" w:leader="none"/>
          <w:tab w:val="left" w:pos="4252" w:leader="none"/>
          <w:tab w:val="left" w:pos="11339" w:leader="none"/>
          <w:tab w:val="left" w:pos="28346" w:leader="none"/>
        </w:tabs>
        <w:suppressAutoHyphens w:val="true"/>
        <w:spacing w:lineRule="auto" w:line="240" w:before="0" w:after="120"/>
        <w:ind w:hanging="2"/>
        <w:jc w:val="center"/>
        <w:textAlignment w:val="top"/>
        <w:rPr>
          <w:rFonts w:ascii="Arial" w:hAnsi="Arial" w:eastAsia="Times New Roman" w:cs="Arial"/>
          <w:i/>
          <w:i/>
          <w:color w:val="auto"/>
          <w:sz w:val="24"/>
          <w:szCs w:val="24"/>
          <w:lang w:eastAsia="it-IT"/>
        </w:rPr>
      </w:pPr>
      <w:r>
        <w:rPr>
          <w:rFonts w:eastAsia="Times New Roman" w:cs="Arial" w:ascii="Arial" w:hAnsi="Arial"/>
          <w:b/>
          <w:color w:val="0070C0"/>
          <w:position w:val="-1"/>
          <w:sz w:val="24"/>
          <w:szCs w:val="24"/>
          <w:lang w:eastAsia="it-IT"/>
        </w:rPr>
        <w:t>approva</w:t>
      </w:r>
      <w:r>
        <w:rPr>
          <w:rFonts w:eastAsia="Times New Roman" w:cs="Arial" w:ascii="Arial" w:hAnsi="Arial"/>
          <w:color w:val="auto"/>
          <w:position w:val="-1"/>
          <w:sz w:val="24"/>
          <w:szCs w:val="24"/>
          <w:lang w:eastAsia="it-IT"/>
        </w:rPr>
        <w:t xml:space="preserve"> </w:t>
      </w:r>
    </w:p>
    <w:p>
      <w:pPr>
        <w:pStyle w:val="Normal"/>
        <w:tabs>
          <w:tab w:val="clear" w:pos="708"/>
          <w:tab w:val="left" w:pos="0" w:leader="none"/>
          <w:tab w:val="left" w:pos="1418" w:leader="none"/>
          <w:tab w:val="left" w:pos="2835" w:leader="none"/>
          <w:tab w:val="left" w:pos="4252" w:leader="none"/>
        </w:tabs>
        <w:suppressAutoHyphens w:val="true"/>
        <w:spacing w:lineRule="auto" w:line="240" w:before="0" w:after="120"/>
        <w:ind w:hanging="2"/>
        <w:textAlignment w:val="top"/>
        <w:rPr>
          <w:rFonts w:ascii="Arial" w:hAnsi="Arial" w:eastAsia="Times New Roman" w:cs="Arial"/>
          <w:color w:val="auto"/>
          <w:sz w:val="24"/>
          <w:szCs w:val="24"/>
          <w:lang w:eastAsia="it-IT"/>
        </w:rPr>
      </w:pPr>
      <w:r>
        <w:rPr>
          <w:rFonts w:eastAsia="Times New Roman" w:cs="Arial" w:ascii="Arial" w:hAnsi="Arial"/>
          <w:color w:val="auto"/>
          <w:position w:val="-1"/>
          <w:sz w:val="24"/>
          <w:szCs w:val="24"/>
          <w:lang w:eastAsia="it-IT"/>
        </w:rPr>
        <w:t>l'allegata relazione sulla proposta di deliberazione consiliare del rendiconto della gestione e sullo schema di rendiconto per l’esercizio finanziario 2024 del Comune di Trezzano sul Naviglio che forma parte integrante e sostanziale del presente verbale.</w:t>
      </w:r>
    </w:p>
    <w:p>
      <w:pPr>
        <w:pStyle w:val="Normal"/>
        <w:tabs>
          <w:tab w:val="clear" w:pos="708"/>
          <w:tab w:val="left" w:pos="0" w:leader="none"/>
          <w:tab w:val="left" w:pos="1418" w:leader="none"/>
          <w:tab w:val="left" w:pos="2835" w:leader="none"/>
          <w:tab w:val="left" w:pos="4252" w:leader="none"/>
        </w:tabs>
        <w:suppressAutoHyphens w:val="true"/>
        <w:spacing w:lineRule="auto" w:line="240" w:before="0" w:after="120"/>
        <w:ind w:hanging="2"/>
        <w:textAlignment w:val="top"/>
        <w:rPr>
          <w:rFonts w:ascii="Arial" w:hAnsi="Arial" w:eastAsia="Times New Roman" w:cs="Arial"/>
          <w:color w:val="auto"/>
          <w:sz w:val="24"/>
          <w:szCs w:val="24"/>
          <w:lang w:eastAsia="it-IT"/>
        </w:rPr>
      </w:pPr>
      <w:r>
        <w:rPr>
          <w:rFonts w:eastAsia="Times New Roman" w:cs="Arial" w:ascii="Arial" w:hAnsi="Arial"/>
          <w:color w:val="auto"/>
          <w:sz w:val="24"/>
          <w:szCs w:val="24"/>
          <w:lang w:eastAsia="it-IT"/>
        </w:rPr>
      </w:r>
    </w:p>
    <w:p>
      <w:pPr>
        <w:pStyle w:val="Normal"/>
        <w:tabs>
          <w:tab w:val="clear" w:pos="708"/>
          <w:tab w:val="left" w:pos="0" w:leader="none"/>
          <w:tab w:val="left" w:pos="1418" w:leader="none"/>
          <w:tab w:val="left" w:pos="2835" w:leader="none"/>
          <w:tab w:val="left" w:pos="4252" w:leader="none"/>
        </w:tabs>
        <w:suppressAutoHyphens w:val="true"/>
        <w:spacing w:lineRule="auto" w:line="240" w:before="0" w:after="120"/>
        <w:ind w:hanging="2"/>
        <w:textAlignment w:val="top"/>
        <w:rPr>
          <w:rFonts w:ascii="Arial" w:hAnsi="Arial" w:eastAsia="Times New Roman" w:cs="Arial"/>
          <w:color w:val="auto"/>
          <w:sz w:val="24"/>
          <w:szCs w:val="24"/>
          <w:lang w:eastAsia="it-IT"/>
        </w:rPr>
      </w:pPr>
      <w:r>
        <w:rPr>
          <w:rFonts w:eastAsia="Times New Roman" w:cs="Arial" w:ascii="Arial" w:hAnsi="Arial"/>
          <w:color w:val="auto"/>
          <w:position w:val="-1"/>
          <w:sz w:val="24"/>
          <w:szCs w:val="24"/>
          <w:lang w:eastAsia="it-IT"/>
        </w:rPr>
        <w:t xml:space="preserve">Trezzano sul Naviglio, lì </w:t>
      </w:r>
      <w:r>
        <w:rPr>
          <w:rFonts w:eastAsia="Times New Roman" w:cs="Arial" w:ascii="Arial" w:hAnsi="Arial"/>
          <w:color w:val="000000"/>
          <w:position w:val="-1"/>
          <w:sz w:val="24"/>
          <w:szCs w:val="24"/>
          <w:shd w:fill="FFFF00" w:val="clear"/>
          <w:lang w:eastAsia="it-IT"/>
        </w:rPr>
        <w:t>04/04/2025</w:t>
      </w:r>
      <w:r>
        <w:rPr>
          <w:rFonts w:eastAsia="Times New Roman" w:cs="Arial" w:ascii="Arial" w:hAnsi="Arial"/>
          <w:color w:val="auto"/>
          <w:position w:val="-1"/>
          <w:sz w:val="24"/>
          <w:szCs w:val="24"/>
          <w:lang w:eastAsia="it-IT"/>
        </w:rPr>
        <w:tab/>
      </w:r>
    </w:p>
    <w:p>
      <w:pPr>
        <w:pStyle w:val="Normal"/>
        <w:tabs>
          <w:tab w:val="clear" w:pos="708"/>
          <w:tab w:val="left" w:pos="0" w:leader="none"/>
          <w:tab w:val="left" w:pos="1418" w:leader="none"/>
          <w:tab w:val="left" w:pos="2835" w:leader="none"/>
          <w:tab w:val="left" w:pos="4252" w:leader="none"/>
        </w:tabs>
        <w:suppressAutoHyphens w:val="true"/>
        <w:spacing w:lineRule="auto" w:line="240" w:before="0" w:after="120"/>
        <w:ind w:hanging="2"/>
        <w:textAlignment w:val="top"/>
        <w:rPr>
          <w:rFonts w:ascii="Arial" w:hAnsi="Arial" w:eastAsia="Times New Roman" w:cs="Arial"/>
          <w:color w:val="auto"/>
          <w:sz w:val="24"/>
          <w:szCs w:val="24"/>
          <w:lang w:eastAsia="it-IT"/>
        </w:rPr>
      </w:pPr>
      <w:r>
        <w:rPr>
          <w:rFonts w:eastAsia="Times New Roman" w:cs="Arial" w:ascii="Arial" w:hAnsi="Arial"/>
          <w:color w:val="auto"/>
          <w:sz w:val="24"/>
          <w:szCs w:val="24"/>
          <w:lang w:eastAsia="it-IT"/>
        </w:rPr>
      </w:r>
    </w:p>
    <w:p>
      <w:pPr>
        <w:pStyle w:val="Normal"/>
        <w:widowControl w:val="false"/>
        <w:overflowPunct w:val="true"/>
        <w:spacing w:lineRule="auto" w:line="240" w:before="0" w:after="240"/>
        <w:ind w:left="2160" w:firstLine="720"/>
        <w:jc w:val="right"/>
        <w:rPr>
          <w:rFonts w:ascii="Arial" w:hAnsi="Arial" w:eastAsia="Times New Roman" w:cs="Arial"/>
          <w:smallCaps/>
          <w:color w:val="auto"/>
          <w:sz w:val="24"/>
          <w:szCs w:val="20"/>
          <w:lang w:eastAsia="it-IT"/>
        </w:rPr>
      </w:pPr>
      <w:r>
        <w:rPr>
          <w:rFonts w:eastAsia="Times New Roman" w:cs="Arial" w:ascii="Arial" w:hAnsi="Arial"/>
          <w:smallCaps/>
          <w:color w:val="auto"/>
          <w:sz w:val="24"/>
          <w:szCs w:val="20"/>
          <w:lang w:eastAsia="it-IT"/>
        </w:rPr>
      </w:r>
    </w:p>
    <w:p>
      <w:pPr>
        <w:pStyle w:val="Normal"/>
        <w:widowControl w:val="false"/>
        <w:overflowPunct w:val="true"/>
        <w:spacing w:lineRule="auto" w:line="240" w:before="0" w:after="240"/>
        <w:ind w:left="2160" w:firstLine="720"/>
        <w:jc w:val="right"/>
        <w:rPr>
          <w:rFonts w:ascii="Arial" w:hAnsi="Arial" w:eastAsia="Times New Roman" w:cs="Arial"/>
          <w:smallCaps/>
          <w:color w:val="auto"/>
          <w:sz w:val="24"/>
          <w:szCs w:val="20"/>
          <w:lang w:eastAsia="it-IT"/>
        </w:rPr>
      </w:pPr>
      <w:r>
        <w:rPr>
          <w:rFonts w:eastAsia="Times New Roman" w:cs="Arial" w:ascii="Arial" w:hAnsi="Arial"/>
          <w:smallCaps/>
          <w:color w:val="auto"/>
          <w:sz w:val="24"/>
          <w:szCs w:val="20"/>
          <w:lang w:eastAsia="it-IT"/>
        </w:rPr>
      </w:r>
    </w:p>
    <w:p>
      <w:pPr>
        <w:pStyle w:val="Normal"/>
        <w:widowControl w:val="false"/>
        <w:overflowPunct w:val="true"/>
        <w:spacing w:lineRule="auto" w:line="240" w:before="0" w:after="240"/>
        <w:ind w:left="2160" w:firstLine="720"/>
        <w:jc w:val="right"/>
        <w:rPr>
          <w:rFonts w:ascii="Arial" w:hAnsi="Arial" w:eastAsia="Times New Roman" w:cs="Arial"/>
          <w:smallCaps/>
          <w:color w:val="auto"/>
          <w:sz w:val="24"/>
          <w:szCs w:val="20"/>
          <w:lang w:eastAsia="it-IT"/>
        </w:rPr>
      </w:pPr>
      <w:r>
        <w:rPr>
          <w:rFonts w:eastAsia="Times New Roman" w:cs="Arial" w:ascii="Arial" w:hAnsi="Arial"/>
          <w:smallCaps/>
          <w:color w:val="auto"/>
          <w:sz w:val="24"/>
          <w:szCs w:val="20"/>
          <w:lang w:eastAsia="it-IT"/>
        </w:rPr>
      </w:r>
    </w:p>
    <w:p>
      <w:pPr>
        <w:pStyle w:val="Normal"/>
        <w:widowControl w:val="false"/>
        <w:overflowPunct w:val="true"/>
        <w:spacing w:lineRule="auto" w:line="240" w:before="0" w:after="240"/>
        <w:ind w:left="2160" w:firstLine="720"/>
        <w:jc w:val="right"/>
        <w:rPr>
          <w:b/>
          <w:b/>
          <w:bCs/>
        </w:rPr>
      </w:pPr>
      <w:r>
        <w:rPr>
          <w:rFonts w:eastAsia="Times New Roman" w:cs="Arial" w:ascii="Arial" w:hAnsi="Arial"/>
          <w:b/>
          <w:bCs/>
          <w:smallCaps/>
          <w:color w:val="auto"/>
          <w:sz w:val="24"/>
          <w:szCs w:val="20"/>
          <w:lang w:eastAsia="it-IT"/>
        </w:rPr>
        <w:t>L’ORGANO DI REVISIONE</w:t>
      </w:r>
    </w:p>
    <w:p>
      <w:pPr>
        <w:pStyle w:val="Normal"/>
        <w:widowControl w:val="false"/>
        <w:overflowPunct w:val="true"/>
        <w:spacing w:lineRule="auto" w:line="240" w:before="0" w:after="240"/>
        <w:ind w:left="2880" w:hanging="0"/>
        <w:jc w:val="right"/>
        <w:rPr/>
      </w:pPr>
      <w:r>
        <w:rPr>
          <w:rFonts w:eastAsia="Times New Roman" w:cs="Arial" w:ascii="Arial" w:hAnsi="Arial"/>
          <w:smallCaps/>
          <w:color w:val="auto"/>
          <w:sz w:val="24"/>
          <w:szCs w:val="20"/>
          <w:lang w:eastAsia="it-IT"/>
        </w:rPr>
        <w:t xml:space="preserve">    </w:t>
      </w:r>
      <w:r>
        <w:rPr>
          <w:rFonts w:eastAsia="Times New Roman" w:cs="Arial" w:ascii="Arial" w:hAnsi="Arial"/>
          <w:smallCaps/>
          <w:color w:val="auto"/>
          <w:sz w:val="24"/>
          <w:szCs w:val="20"/>
          <w:lang w:eastAsia="it-IT"/>
        </w:rPr>
        <w:t>Dott. Riccardo Luigi Tofani</w:t>
      </w:r>
    </w:p>
    <w:p>
      <w:pPr>
        <w:pStyle w:val="Normal"/>
        <w:widowControl w:val="false"/>
        <w:overflowPunct w:val="true"/>
        <w:spacing w:lineRule="auto" w:line="240" w:before="0" w:after="240"/>
        <w:ind w:left="2880" w:hanging="0"/>
        <w:jc w:val="right"/>
        <w:rPr/>
      </w:pPr>
      <w:r>
        <w:rPr>
          <w:rFonts w:eastAsia="Times New Roman" w:cs="Arial" w:ascii="Arial" w:hAnsi="Arial"/>
          <w:smallCaps/>
          <w:color w:val="auto"/>
          <w:sz w:val="24"/>
          <w:szCs w:val="20"/>
          <w:lang w:eastAsia="it-IT"/>
        </w:rPr>
        <w:t xml:space="preserve">    </w:t>
      </w:r>
      <w:r>
        <w:rPr>
          <w:rFonts w:eastAsia="Times New Roman" w:cs="Arial" w:ascii="Arial" w:hAnsi="Arial"/>
          <w:smallCaps/>
          <w:color w:val="auto"/>
          <w:sz w:val="24"/>
          <w:szCs w:val="20"/>
          <w:lang w:eastAsia="it-IT"/>
        </w:rPr>
        <w:t>Dott. Tullio Paderno</w:t>
      </w:r>
    </w:p>
    <w:p>
      <w:pPr>
        <w:pStyle w:val="Normal"/>
        <w:widowControl w:val="false"/>
        <w:overflowPunct w:val="true"/>
        <w:spacing w:lineRule="auto" w:line="240" w:before="0" w:after="240"/>
        <w:ind w:left="2880" w:hanging="0"/>
        <w:jc w:val="right"/>
        <w:rPr/>
      </w:pPr>
      <w:r>
        <w:rPr>
          <w:rFonts w:eastAsia="Times New Roman" w:cs="Arial" w:ascii="Arial" w:hAnsi="Arial"/>
          <w:smallCaps/>
          <w:color w:val="auto"/>
          <w:position w:val="-1"/>
          <w:sz w:val="24"/>
          <w:szCs w:val="20"/>
          <w:lang w:eastAsia="it-IT"/>
        </w:rPr>
        <w:t xml:space="preserve">    </w:t>
      </w:r>
      <w:r>
        <w:rPr>
          <w:rFonts w:eastAsia="Times New Roman" w:cs="Arial" w:ascii="Arial" w:hAnsi="Arial"/>
          <w:smallCaps/>
          <w:color w:val="auto"/>
          <w:position w:val="-1"/>
          <w:sz w:val="24"/>
          <w:szCs w:val="20"/>
          <w:lang w:eastAsia="it-IT"/>
        </w:rPr>
        <w:t>Dott.ssa Maria Assunta Colombo</w:t>
      </w:r>
    </w:p>
    <w:p>
      <w:pPr>
        <w:pStyle w:val="Titolo1"/>
        <w:numPr>
          <w:ilvl w:val="0"/>
          <w:numId w:val="61"/>
        </w:numPr>
        <w:ind w:left="284" w:hanging="284"/>
        <w:rPr/>
      </w:pPr>
      <w:r>
        <w:rPr/>
        <w:t>I</w:t>
      </w:r>
      <w:bookmarkStart w:id="0" w:name="_Toc192666967"/>
      <w:r>
        <w:rPr/>
        <w:t>ntroduzione</w:t>
      </w:r>
      <w:bookmarkEnd w:id="0"/>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b/>
          <w:color w:val="auto"/>
          <w:szCs w:val="22"/>
          <w:lang w:eastAsia="it-IT"/>
        </w:rPr>
        <w:t>I sottoscritti Dott. Riccardo Luigi Tofani, Dott. Tullio Paderno e Dott.ssa Maria Assunta Colombo,</w:t>
      </w:r>
      <w:r>
        <w:rPr>
          <w:rFonts w:eastAsia="Times New Roman" w:cs="Arial" w:ascii="Arial" w:hAnsi="Arial"/>
          <w:color w:val="auto"/>
          <w:szCs w:val="22"/>
          <w:lang w:eastAsia="it-IT"/>
        </w:rPr>
        <w:t xml:space="preserve"> </w:t>
      </w:r>
      <w:r>
        <w:rPr>
          <w:rFonts w:eastAsia="Times New Roman" w:cs="Arial" w:ascii="Arial" w:hAnsi="Arial"/>
          <w:b/>
          <w:color w:val="auto"/>
          <w:szCs w:val="22"/>
          <w:lang w:eastAsia="it-IT"/>
        </w:rPr>
        <w:t xml:space="preserve">revisori nominati  </w:t>
      </w:r>
      <w:r>
        <w:rPr>
          <w:rFonts w:eastAsia="Times New Roman" w:cs="Arial" w:ascii="Arial" w:hAnsi="Arial"/>
          <w:color w:val="auto"/>
          <w:szCs w:val="22"/>
          <w:lang w:eastAsia="it-IT"/>
        </w:rPr>
        <w:t>con delibera dell’Organo consiliare n. 73 del 28/11/2024;</w:t>
      </w:r>
    </w:p>
    <w:p>
      <w:pPr>
        <w:pStyle w:val="Normal"/>
        <w:widowControl w:val="false"/>
        <w:numPr>
          <w:ilvl w:val="0"/>
          <w:numId w:val="4"/>
        </w:numPr>
        <w:suppressAutoHyphens w:val="true"/>
        <w:overflowPunct w:val="true"/>
        <w:spacing w:lineRule="auto" w:line="240" w:before="0" w:after="120"/>
        <w:ind w:left="0" w:hanging="2"/>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ricevuta in data 02/04/2025 la proposta di delibera consiliare e lo schema del rendiconto per l’esercizio 2024, approvati con delibera della giunta comunale del 02/04/2025, completi dei seguenti documenti obbligatori ai sensi del d.lgs. 18 agosto 2000, n. 267 (Testo unico delle leggi sull'ordinamento degli enti locali – di seguito TUEL):</w:t>
      </w:r>
    </w:p>
    <w:p>
      <w:pPr>
        <w:pStyle w:val="Normal"/>
        <w:widowControl w:val="false"/>
        <w:numPr>
          <w:ilvl w:val="0"/>
          <w:numId w:val="5"/>
        </w:numPr>
        <w:suppressAutoHyphens w:val="true"/>
        <w:overflowPunct w:val="true"/>
        <w:spacing w:lineRule="auto" w:line="240" w:before="0" w:after="120"/>
        <w:ind w:left="0" w:hanging="2"/>
        <w:jc w:val="left"/>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Conto del bilancio;</w:t>
      </w:r>
    </w:p>
    <w:p>
      <w:pPr>
        <w:pStyle w:val="Normal"/>
        <w:widowControl w:val="false"/>
        <w:numPr>
          <w:ilvl w:val="0"/>
          <w:numId w:val="5"/>
        </w:numPr>
        <w:suppressAutoHyphens w:val="true"/>
        <w:overflowPunct w:val="true"/>
        <w:spacing w:lineRule="auto" w:line="240" w:before="0" w:after="120"/>
        <w:ind w:left="0" w:hanging="2"/>
        <w:jc w:val="left"/>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Conto economico;</w:t>
      </w:r>
    </w:p>
    <w:p>
      <w:pPr>
        <w:pStyle w:val="Normal"/>
        <w:widowControl w:val="false"/>
        <w:numPr>
          <w:ilvl w:val="0"/>
          <w:numId w:val="5"/>
        </w:numPr>
        <w:suppressAutoHyphens w:val="true"/>
        <w:overflowPunct w:val="true"/>
        <w:spacing w:lineRule="auto" w:line="240" w:before="0" w:after="120"/>
        <w:ind w:left="0" w:hanging="2"/>
        <w:jc w:val="left"/>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Stato patrimoniale; </w:t>
      </w:r>
    </w:p>
    <w:p>
      <w:pPr>
        <w:pStyle w:val="Normal"/>
        <w:widowControl w:val="false"/>
        <w:overflowPunct w:val="true"/>
        <w:spacing w:lineRule="auto" w:line="240" w:before="120" w:after="120"/>
        <w:ind w:left="284"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e corredati dagli allegati disposti dalla legge e necessari per il controllo. </w:t>
      </w:r>
    </w:p>
    <w:p>
      <w:pPr>
        <w:pStyle w:val="Normal"/>
        <w:widowControl w:val="false"/>
        <w:overflowPunct w:val="true"/>
        <w:spacing w:lineRule="auto" w:line="240" w:before="120" w:after="120"/>
        <w:ind w:left="284" w:hanging="0"/>
        <w:textAlignment w:val="baseline"/>
        <w:rPr>
          <w:rFonts w:ascii="Arial" w:hAnsi="Arial" w:eastAsia="Times New Roman" w:cs="Arial"/>
          <w:b/>
          <w:b/>
          <w:i/>
          <w:i/>
          <w:iCs/>
          <w:color w:val="00B0F0"/>
          <w:szCs w:val="22"/>
          <w:lang w:eastAsia="it-IT"/>
        </w:rPr>
      </w:pPr>
      <w:r>
        <w:rPr>
          <w:rFonts w:eastAsia="Times New Roman" w:cs="Arial" w:ascii="Arial" w:hAnsi="Arial"/>
          <w:b/>
          <w:i/>
          <w:iCs/>
          <w:color w:val="00B0F0"/>
          <w:szCs w:val="22"/>
          <w:lang w:eastAsia="it-IT"/>
        </w:rPr>
      </w:r>
    </w:p>
    <w:p>
      <w:pPr>
        <w:pStyle w:val="Normal"/>
        <w:widowControl w:val="false"/>
        <w:numPr>
          <w:ilvl w:val="0"/>
          <w:numId w:val="4"/>
        </w:numPr>
        <w:suppressAutoHyphens w:val="true"/>
        <w:overflowPunct w:val="true"/>
        <w:spacing w:lineRule="auto" w:line="240" w:before="0" w:after="120"/>
        <w:ind w:left="0" w:hanging="2"/>
        <w:jc w:val="left"/>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visto il bilancio di previsione degli esercizi 2025-2027 con le relative delibere di variazione; </w:t>
      </w:r>
    </w:p>
    <w:p>
      <w:pPr>
        <w:pStyle w:val="Normal"/>
        <w:widowControl w:val="false"/>
        <w:numPr>
          <w:ilvl w:val="0"/>
          <w:numId w:val="4"/>
        </w:numPr>
        <w:suppressAutoHyphens w:val="true"/>
        <w:overflowPunct w:val="true"/>
        <w:spacing w:lineRule="auto" w:line="240" w:before="0" w:after="120"/>
        <w:ind w:left="0" w:hanging="2"/>
        <w:jc w:val="left"/>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viste le disposizioni della parte II – ordinamento finanziario e contabile del TUEL;</w:t>
      </w:r>
    </w:p>
    <w:p>
      <w:pPr>
        <w:pStyle w:val="Normal"/>
        <w:widowControl w:val="false"/>
        <w:numPr>
          <w:ilvl w:val="0"/>
          <w:numId w:val="4"/>
        </w:numPr>
        <w:suppressAutoHyphens w:val="true"/>
        <w:overflowPunct w:val="true"/>
        <w:spacing w:lineRule="auto" w:line="240" w:before="0" w:after="120"/>
        <w:ind w:left="0" w:hanging="2"/>
        <w:jc w:val="left"/>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visto in particolare l’articolo 239, comma 1 lettera d) del TUEL;</w:t>
      </w:r>
    </w:p>
    <w:p>
      <w:pPr>
        <w:pStyle w:val="Normal"/>
        <w:widowControl w:val="false"/>
        <w:numPr>
          <w:ilvl w:val="0"/>
          <w:numId w:val="4"/>
        </w:numPr>
        <w:suppressAutoHyphens w:val="true"/>
        <w:overflowPunct w:val="true"/>
        <w:spacing w:lineRule="auto" w:line="240" w:before="0" w:after="120"/>
        <w:ind w:left="0" w:hanging="2"/>
        <w:jc w:val="left"/>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visto il d.lgs. 118/2011;</w:t>
      </w:r>
    </w:p>
    <w:p>
      <w:pPr>
        <w:pStyle w:val="Normal"/>
        <w:widowControl w:val="false"/>
        <w:numPr>
          <w:ilvl w:val="0"/>
          <w:numId w:val="4"/>
        </w:numPr>
        <w:suppressAutoHyphens w:val="true"/>
        <w:overflowPunct w:val="true"/>
        <w:spacing w:lineRule="auto" w:line="240" w:before="0" w:after="120"/>
        <w:ind w:left="0" w:hanging="2"/>
        <w:jc w:val="left"/>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visti i principi contabili applicabili agli enti locali;</w:t>
      </w:r>
    </w:p>
    <w:p>
      <w:pPr>
        <w:pStyle w:val="Normal"/>
        <w:widowControl w:val="false"/>
        <w:numPr>
          <w:ilvl w:val="0"/>
          <w:numId w:val="4"/>
        </w:numPr>
        <w:suppressAutoHyphens w:val="true"/>
        <w:overflowPunct w:val="true"/>
        <w:spacing w:lineRule="auto" w:line="240" w:before="0" w:after="120"/>
        <w:ind w:left="0" w:hanging="2"/>
        <w:jc w:val="left"/>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visto il regolamento di contabilità approvato con delibera dell’organo consiliare</w:t>
      </w:r>
      <w:r>
        <w:rPr>
          <w:rFonts w:eastAsia="Times New Roman" w:cs="Arial" w:ascii="Arial" w:hAnsi="Arial"/>
          <w:i/>
          <w:color w:val="auto"/>
          <w:szCs w:val="22"/>
          <w:lang w:eastAsia="it-IT"/>
        </w:rPr>
        <w:t xml:space="preserve"> </w:t>
      </w:r>
      <w:r>
        <w:rPr>
          <w:rFonts w:eastAsia="Times New Roman" w:cs="Arial" w:ascii="Arial" w:hAnsi="Arial"/>
          <w:color w:val="auto"/>
          <w:szCs w:val="22"/>
          <w:lang w:eastAsia="it-IT"/>
        </w:rPr>
        <w:t>n. 13 del 26/03/2019;</w:t>
      </w:r>
    </w:p>
    <w:p>
      <w:pPr>
        <w:pStyle w:val="Normal"/>
        <w:widowControl w:val="false"/>
        <w:numPr>
          <w:ilvl w:val="0"/>
          <w:numId w:val="0"/>
        </w:numPr>
        <w:overflowPunct w:val="true"/>
        <w:spacing w:lineRule="auto" w:line="240" w:before="120" w:after="240"/>
        <w:ind w:left="0" w:hanging="0"/>
        <w:jc w:val="center"/>
        <w:textAlignment w:val="baseline"/>
        <w:rPr>
          <w:rFonts w:ascii="Arial" w:hAnsi="Arial" w:eastAsia="Times New Roman" w:cs="Arial"/>
          <w:caps/>
          <w:color w:val="auto"/>
          <w:szCs w:val="22"/>
          <w:lang w:eastAsia="it-IT"/>
        </w:rPr>
      </w:pPr>
      <w:r>
        <w:rPr>
          <w:rFonts w:eastAsia="Times New Roman" w:cs="Arial" w:ascii="Arial" w:hAnsi="Arial"/>
          <w:b/>
          <w:caps/>
          <w:color w:val="auto"/>
          <w:szCs w:val="22"/>
          <w:lang w:eastAsia="it-IT"/>
        </w:rPr>
        <w:t>Tenuto conto che</w:t>
      </w:r>
    </w:p>
    <w:p>
      <w:pPr>
        <w:pStyle w:val="Normal"/>
        <w:widowControl w:val="false"/>
        <w:numPr>
          <w:ilvl w:val="0"/>
          <w:numId w:val="4"/>
        </w:numPr>
        <w:suppressAutoHyphens w:val="true"/>
        <w:overflowPunct w:val="true"/>
        <w:spacing w:lineRule="auto" w:line="240" w:before="0" w:after="120"/>
        <w:ind w:left="0" w:hanging="2"/>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durante l’esercizio le funzioni sono state svolte in ottemperanza alle competenze contenute nell’art. 239 del TUEL avvalendosi anche di tecniche motivate di campionamento;</w:t>
      </w:r>
    </w:p>
    <w:p>
      <w:pPr>
        <w:pStyle w:val="Normal"/>
        <w:widowControl w:val="false"/>
        <w:numPr>
          <w:ilvl w:val="0"/>
          <w:numId w:val="4"/>
        </w:numPr>
        <w:suppressAutoHyphens w:val="true"/>
        <w:overflowPunct w:val="true"/>
        <w:spacing w:lineRule="auto" w:line="240" w:before="0" w:after="120"/>
        <w:ind w:left="0" w:hanging="2"/>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il controllo contabile è stato svolto in assoluta indipendenza soggettiva ed oggettiva nei confronti delle persone che determinano gli atti e le operazioni dell’Ente;</w:t>
      </w:r>
    </w:p>
    <w:p>
      <w:pPr>
        <w:pStyle w:val="Normal"/>
        <w:widowControl w:val="false"/>
        <w:numPr>
          <w:ilvl w:val="0"/>
          <w:numId w:val="4"/>
        </w:numPr>
        <w:suppressAutoHyphens w:val="true"/>
        <w:overflowPunct w:val="true"/>
        <w:spacing w:lineRule="auto" w:line="240" w:before="0" w:after="120"/>
        <w:ind w:left="0" w:hanging="2"/>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si è provveduto a verificare la regolarità ed i presupposti delle variazioni di bilancio approvate nel corso 2024 dell’esercizio dalla Giunta, dal responsabile del servizio finanziario e dai dirigenti (regolarità accertata dal collegio dei Revisori in carica durante l’esercizio 2024);</w:t>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In particolare, ai sensi art. 239 comma 1 lett. b) 2), è stata verificata l’esistenza dei presupposti relativamente le seguenti variazioni di bilancio:</w:t>
      </w:r>
    </w:p>
    <w:p>
      <w:pPr>
        <w:pStyle w:val="Normal"/>
        <w:widowControl w:val="false"/>
        <w:overflowPunct w:val="true"/>
        <w:spacing w:lineRule="auto" w:line="240" w:before="0" w:after="120"/>
        <w:jc w:val="center"/>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bCs/>
          <w:color w:val="auto"/>
          <w:szCs w:val="22"/>
          <w:lang w:eastAsia="it-IT"/>
        </w:rPr>
      </w:pPr>
      <w:r>
        <w:rPr>
          <w:rFonts w:eastAsia="Times New Roman" w:cs="Arial" w:ascii="Arial" w:hAnsi="Arial"/>
          <w:b/>
          <w:bCs/>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bCs/>
          <w:color w:val="auto"/>
          <w:szCs w:val="22"/>
          <w:lang w:eastAsia="it-IT"/>
        </w:rPr>
      </w:pPr>
      <w:r>
        <w:rPr>
          <w:rFonts w:eastAsia="Times New Roman" w:cs="Arial" w:ascii="Arial" w:hAnsi="Arial"/>
          <w:b/>
          <w:bCs/>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bCs/>
          <w:color w:val="auto"/>
          <w:szCs w:val="22"/>
          <w:lang w:eastAsia="it-IT"/>
        </w:rPr>
      </w:pPr>
      <w:r>
        <w:rPr>
          <w:rFonts w:eastAsia="Times New Roman" w:cs="Arial" w:ascii="Arial" w:hAnsi="Arial"/>
          <w:b/>
          <w:bCs/>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bCs/>
          <w:color w:val="auto"/>
          <w:szCs w:val="22"/>
          <w:lang w:eastAsia="it-IT"/>
        </w:rPr>
      </w:pPr>
      <w:r>
        <w:rPr>
          <w:rFonts w:eastAsia="Times New Roman" w:cs="Arial" w:ascii="Arial" w:hAnsi="Arial"/>
          <w:b/>
          <w:bCs/>
          <w:color w:val="auto"/>
          <w:szCs w:val="22"/>
          <w:lang w:eastAsia="it-IT"/>
        </w:rPr>
      </w:r>
    </w:p>
    <w:tbl>
      <w:tblPr>
        <w:tblW w:w="6133" w:type="dxa"/>
        <w:jc w:val="left"/>
        <w:tblInd w:w="-60" w:type="dxa"/>
        <w:tblLayout w:type="fixed"/>
        <w:tblCellMar>
          <w:top w:w="0" w:type="dxa"/>
          <w:left w:w="0" w:type="dxa"/>
          <w:bottom w:w="0" w:type="dxa"/>
          <w:right w:w="0" w:type="dxa"/>
        </w:tblCellMar>
      </w:tblPr>
      <w:tblGrid>
        <w:gridCol w:w="3470"/>
        <w:gridCol w:w="2662"/>
      </w:tblGrid>
      <w:tr>
        <w:trPr>
          <w:trHeight w:val="288" w:hRule="atLeast"/>
        </w:trPr>
        <w:tc>
          <w:tcPr>
            <w:tcW w:w="3470" w:type="dxa"/>
            <w:tcBorders>
              <w:bottom w:val="single" w:sz="6" w:space="0" w:color="00599D"/>
            </w:tcBorders>
            <w:shd w:fill="00599D" w:val="clear"/>
            <w:vAlign w:val="bottom"/>
          </w:tcPr>
          <w:p>
            <w:pPr>
              <w:pStyle w:val="Normal"/>
              <w:widowControl w:val="false"/>
              <w:tabs>
                <w:tab w:val="clear" w:pos="708"/>
              </w:tabs>
              <w:spacing w:before="0" w:after="200"/>
              <w:jc w:val="left"/>
              <w:rPr>
                <w:rFonts w:ascii="Arial" w:hAnsi="Arial" w:eastAsia="Times New Roman" w:cs="Arial"/>
                <w:b/>
                <w:b/>
                <w:bCs/>
                <w:color w:val="auto"/>
                <w:szCs w:val="22"/>
                <w:lang w:eastAsia="it-IT"/>
              </w:rPr>
            </w:pPr>
            <w:r>
              <w:rPr>
                <w:rFonts w:eastAsia="Times New Roman" w:cs="Arial" w:ascii="Arial" w:hAnsi="Arial"/>
                <w:b/>
                <w:bCs/>
                <w:color w:val="auto"/>
                <w:szCs w:val="22"/>
                <w:lang w:eastAsia="it-IT"/>
              </w:rPr>
            </w:r>
          </w:p>
        </w:tc>
        <w:tc>
          <w:tcPr>
            <w:tcW w:w="2662" w:type="dxa"/>
            <w:tcBorders>
              <w:bottom w:val="single" w:sz="6" w:space="0" w:color="00599D"/>
            </w:tcBorders>
            <w:shd w:fill="00599D" w:val="clear"/>
            <w:vAlign w:val="bottom"/>
          </w:tcPr>
          <w:p>
            <w:pPr>
              <w:pStyle w:val="Normal"/>
              <w:widowControl w:val="false"/>
              <w:tabs>
                <w:tab w:val="clear" w:pos="708"/>
              </w:tabs>
              <w:spacing w:before="0" w:after="200"/>
              <w:jc w:val="right"/>
              <w:rPr>
                <w:rFonts w:ascii="Liberation Sans" w:hAnsi="Liberation Sans"/>
                <w:b/>
                <w:b/>
                <w:bCs/>
                <w:i w:val="false"/>
                <w:i w:val="false"/>
                <w:iCs w:val="false"/>
                <w:strike w:val="false"/>
                <w:dstrike w:val="false"/>
                <w:outline w:val="false"/>
                <w:shadow w:val="false"/>
                <w:color w:val="FFFFFF"/>
                <w:sz w:val="24"/>
                <w:szCs w:val="24"/>
                <w:u w:val="none"/>
              </w:rPr>
            </w:pPr>
            <w:r>
              <w:rPr>
                <w:rFonts w:ascii="Liberation Sans" w:hAnsi="Liberation Sans"/>
                <w:b/>
                <w:bCs/>
                <w:i w:val="false"/>
                <w:iCs w:val="false"/>
                <w:strike w:val="false"/>
                <w:dstrike w:val="false"/>
                <w:outline w:val="false"/>
                <w:shadow w:val="false"/>
                <w:color w:val="FFFFFF"/>
                <w:sz w:val="24"/>
                <w:szCs w:val="24"/>
                <w:u w:val="none"/>
              </w:rPr>
              <w:t>Anno 2024</w:t>
            </w:r>
          </w:p>
        </w:tc>
      </w:tr>
      <w:tr>
        <w:trPr>
          <w:trHeight w:val="288" w:hRule="atLeast"/>
        </w:trPr>
        <w:tc>
          <w:tcPr>
            <w:tcW w:w="3470" w:type="dxa"/>
            <w:tcBorders>
              <w:left w:val="single" w:sz="6" w:space="0" w:color="00599D"/>
            </w:tcBorders>
            <w:vAlign w:val="center"/>
          </w:tcPr>
          <w:p>
            <w:pPr>
              <w:pStyle w:val="Normal"/>
              <w:widowControl w:val="false"/>
              <w:tabs>
                <w:tab w:val="clear" w:pos="708"/>
              </w:tabs>
              <w:spacing w:before="0" w:after="200"/>
              <w:jc w:val="left"/>
              <w:rPr>
                <w:rFonts w:ascii="Arial" w:hAnsi="Arial" w:eastAsia="Times New Roman" w:cs="Arial"/>
                <w:b/>
                <w:b/>
                <w:bCs/>
                <w:color w:val="auto"/>
                <w:szCs w:val="22"/>
                <w:lang w:eastAsia="it-IT"/>
              </w:rPr>
            </w:pPr>
            <w:r>
              <w:rPr>
                <w:rFonts w:ascii="Liberation Sans" w:hAnsi="Liberation Sans"/>
                <w:b/>
                <w:bCs w:val="false"/>
                <w:i w:val="false"/>
                <w:iCs w:val="false"/>
                <w:strike w:val="false"/>
                <w:dstrike w:val="false"/>
                <w:outline w:val="false"/>
                <w:shadow w:val="false"/>
                <w:color w:val="000000"/>
                <w:sz w:val="24"/>
                <w:szCs w:val="24"/>
                <w:u w:val="none"/>
              </w:rPr>
              <w:t>Variazioni di bilancio totali</w:t>
            </w:r>
          </w:p>
        </w:tc>
        <w:tc>
          <w:tcPr>
            <w:tcW w:w="2662" w:type="dxa"/>
            <w:tcBorders>
              <w:right w:val="single" w:sz="6" w:space="0" w:color="00599D"/>
            </w:tcBorders>
            <w:vAlign w:val="center"/>
          </w:tcPr>
          <w:p>
            <w:pPr>
              <w:pStyle w:val="Normal"/>
              <w:widowControl w:val="false"/>
              <w:tabs>
                <w:tab w:val="clear" w:pos="708"/>
              </w:tabs>
              <w:spacing w:before="0" w:after="200"/>
              <w:jc w:val="right"/>
              <w:rPr>
                <w:rFonts w:ascii="Liberation Sans" w:hAnsi="Liberation Sans"/>
                <w:b w:val="false"/>
                <w:b w:val="false"/>
                <w:bCs w:val="false"/>
                <w:i w:val="false"/>
                <w:i w:val="false"/>
                <w:iCs w:val="false"/>
                <w:strike w:val="false"/>
                <w:dstrike w:val="false"/>
                <w:outline w:val="false"/>
                <w:shadow w:val="false"/>
                <w:color w:val="000000"/>
                <w:sz w:val="24"/>
                <w:szCs w:val="24"/>
                <w:u w:val="none"/>
              </w:rPr>
            </w:pPr>
            <w:r>
              <w:rPr>
                <w:rFonts w:ascii="Liberation Sans" w:hAnsi="Liberation Sans"/>
                <w:b w:val="false"/>
                <w:bCs w:val="false"/>
                <w:i w:val="false"/>
                <w:iCs w:val="false"/>
                <w:strike w:val="false"/>
                <w:dstrike w:val="false"/>
                <w:outline w:val="false"/>
                <w:shadow w:val="false"/>
                <w:color w:val="000000"/>
                <w:sz w:val="24"/>
                <w:szCs w:val="24"/>
                <w:u w:val="none"/>
              </w:rPr>
              <w:t>n. 27</w:t>
            </w:r>
          </w:p>
        </w:tc>
      </w:tr>
      <w:tr>
        <w:trPr>
          <w:trHeight w:val="312" w:hRule="atLeast"/>
        </w:trPr>
        <w:tc>
          <w:tcPr>
            <w:tcW w:w="3470" w:type="dxa"/>
            <w:tcBorders>
              <w:left w:val="single" w:sz="6" w:space="0" w:color="00599D"/>
            </w:tcBorders>
            <w:shd w:fill="DDDDDD" w:val="clear"/>
            <w:vAlign w:val="center"/>
          </w:tcPr>
          <w:p>
            <w:pPr>
              <w:pStyle w:val="Normal"/>
              <w:widowControl w:val="false"/>
              <w:tabs>
                <w:tab w:val="clear" w:pos="708"/>
              </w:tabs>
              <w:spacing w:before="0" w:after="200"/>
              <w:jc w:val="left"/>
              <w:rPr>
                <w:rFonts w:ascii="Arial" w:hAnsi="Arial" w:eastAsia="Times New Roman" w:cs="Arial"/>
                <w:b/>
                <w:b/>
                <w:bCs/>
                <w:color w:val="auto"/>
                <w:szCs w:val="22"/>
                <w:lang w:eastAsia="it-IT"/>
              </w:rPr>
            </w:pPr>
            <w:r>
              <w:rPr>
                <w:rFonts w:ascii="Liberation Sans" w:hAnsi="Liberation Sans"/>
                <w:b w:val="false"/>
                <w:bCs w:val="false"/>
                <w:i w:val="false"/>
                <w:iCs w:val="false"/>
                <w:strike w:val="false"/>
                <w:dstrike w:val="false"/>
                <w:outline w:val="false"/>
                <w:shadow w:val="false"/>
                <w:color w:val="000000"/>
                <w:sz w:val="24"/>
                <w:szCs w:val="24"/>
                <w:u w:val="none"/>
              </w:rPr>
              <w:t>di cui variazioni di Consiglio</w:t>
            </w:r>
          </w:p>
        </w:tc>
        <w:tc>
          <w:tcPr>
            <w:tcW w:w="2662" w:type="dxa"/>
            <w:tcBorders>
              <w:right w:val="single" w:sz="6" w:space="0" w:color="00599D"/>
            </w:tcBorders>
            <w:shd w:fill="DDDDDD" w:val="clear"/>
            <w:vAlign w:val="center"/>
          </w:tcPr>
          <w:p>
            <w:pPr>
              <w:pStyle w:val="Normal"/>
              <w:widowControl w:val="false"/>
              <w:tabs>
                <w:tab w:val="clear" w:pos="708"/>
              </w:tabs>
              <w:spacing w:before="0" w:after="200"/>
              <w:jc w:val="right"/>
              <w:rPr>
                <w:rFonts w:ascii="Liberation Sans" w:hAnsi="Liberation Sans"/>
                <w:b w:val="false"/>
                <w:b w:val="false"/>
                <w:bCs w:val="false"/>
                <w:i w:val="false"/>
                <w:i w:val="false"/>
                <w:iCs w:val="false"/>
                <w:strike w:val="false"/>
                <w:dstrike w:val="false"/>
                <w:outline w:val="false"/>
                <w:shadow w:val="false"/>
                <w:color w:val="000000"/>
                <w:sz w:val="24"/>
                <w:szCs w:val="24"/>
                <w:u w:val="none"/>
              </w:rPr>
            </w:pPr>
            <w:r>
              <w:rPr>
                <w:rFonts w:ascii="Liberation Sans" w:hAnsi="Liberation Sans"/>
                <w:b w:val="false"/>
                <w:bCs w:val="false"/>
                <w:i w:val="false"/>
                <w:iCs w:val="false"/>
                <w:strike w:val="false"/>
                <w:dstrike w:val="false"/>
                <w:outline w:val="false"/>
                <w:shadow w:val="false"/>
                <w:color w:val="000000"/>
                <w:sz w:val="24"/>
                <w:szCs w:val="24"/>
                <w:u w:val="none"/>
              </w:rPr>
              <w:t>n. 4</w:t>
            </w:r>
          </w:p>
        </w:tc>
      </w:tr>
      <w:tr>
        <w:trPr>
          <w:trHeight w:val="792" w:hRule="atLeast"/>
        </w:trPr>
        <w:tc>
          <w:tcPr>
            <w:tcW w:w="3470" w:type="dxa"/>
            <w:tcBorders>
              <w:left w:val="single" w:sz="6" w:space="0" w:color="00599D"/>
            </w:tcBorders>
            <w:vAlign w:val="center"/>
          </w:tcPr>
          <w:p>
            <w:pPr>
              <w:pStyle w:val="Normal"/>
              <w:widowControl w:val="false"/>
              <w:tabs>
                <w:tab w:val="clear" w:pos="708"/>
              </w:tabs>
              <w:spacing w:before="0" w:after="200"/>
              <w:jc w:val="left"/>
              <w:rPr>
                <w:rFonts w:ascii="Arial" w:hAnsi="Arial" w:eastAsia="Times New Roman" w:cs="Arial"/>
                <w:b/>
                <w:b/>
                <w:bCs/>
                <w:color w:val="auto"/>
                <w:szCs w:val="22"/>
                <w:lang w:eastAsia="it-IT"/>
              </w:rPr>
            </w:pPr>
            <w:r>
              <w:rPr>
                <w:rFonts w:ascii="Liberation Sans" w:hAnsi="Liberation Sans"/>
                <w:b w:val="false"/>
                <w:bCs w:val="false"/>
                <w:i w:val="false"/>
                <w:iCs w:val="false"/>
                <w:strike w:val="false"/>
                <w:dstrike w:val="false"/>
                <w:outline w:val="false"/>
                <w:shadow w:val="false"/>
                <w:color w:val="000000"/>
                <w:sz w:val="24"/>
                <w:szCs w:val="24"/>
                <w:u w:val="none"/>
              </w:rPr>
              <w:t>di cui variazioni di Giunta con i poteri del consiglio a ratifica ex art. 175 c. 4 Tuel</w:t>
            </w:r>
          </w:p>
        </w:tc>
        <w:tc>
          <w:tcPr>
            <w:tcW w:w="2662" w:type="dxa"/>
            <w:tcBorders>
              <w:right w:val="single" w:sz="6" w:space="0" w:color="00599D"/>
            </w:tcBorders>
            <w:vAlign w:val="center"/>
          </w:tcPr>
          <w:p>
            <w:pPr>
              <w:pStyle w:val="Normal"/>
              <w:widowControl w:val="false"/>
              <w:tabs>
                <w:tab w:val="clear" w:pos="708"/>
              </w:tabs>
              <w:spacing w:before="0" w:after="200"/>
              <w:jc w:val="right"/>
              <w:rPr>
                <w:rFonts w:ascii="Liberation Sans" w:hAnsi="Liberation Sans"/>
                <w:b w:val="false"/>
                <w:b w:val="false"/>
                <w:bCs w:val="false"/>
                <w:i w:val="false"/>
                <w:i w:val="false"/>
                <w:iCs w:val="false"/>
                <w:strike w:val="false"/>
                <w:dstrike w:val="false"/>
                <w:outline w:val="false"/>
                <w:shadow w:val="false"/>
                <w:color w:val="000000"/>
                <w:sz w:val="24"/>
                <w:szCs w:val="24"/>
                <w:u w:val="none"/>
              </w:rPr>
            </w:pPr>
            <w:r>
              <w:rPr>
                <w:rFonts w:ascii="Liberation Sans" w:hAnsi="Liberation Sans"/>
                <w:b w:val="false"/>
                <w:bCs w:val="false"/>
                <w:i w:val="false"/>
                <w:iCs w:val="false"/>
                <w:strike w:val="false"/>
                <w:dstrike w:val="false"/>
                <w:outline w:val="false"/>
                <w:shadow w:val="false"/>
                <w:color w:val="000000"/>
                <w:sz w:val="24"/>
                <w:szCs w:val="24"/>
                <w:u w:val="none"/>
              </w:rPr>
              <w:t>n. 0</w:t>
            </w:r>
          </w:p>
        </w:tc>
      </w:tr>
      <w:tr>
        <w:trPr>
          <w:trHeight w:val="528" w:hRule="atLeast"/>
        </w:trPr>
        <w:tc>
          <w:tcPr>
            <w:tcW w:w="3470" w:type="dxa"/>
            <w:tcBorders>
              <w:left w:val="single" w:sz="6" w:space="0" w:color="00599D"/>
            </w:tcBorders>
            <w:shd w:fill="DDDDDD" w:val="clear"/>
            <w:vAlign w:val="center"/>
          </w:tcPr>
          <w:p>
            <w:pPr>
              <w:pStyle w:val="Normal"/>
              <w:widowControl w:val="false"/>
              <w:tabs>
                <w:tab w:val="clear" w:pos="708"/>
              </w:tabs>
              <w:spacing w:before="0" w:after="200"/>
              <w:jc w:val="left"/>
              <w:rPr>
                <w:rFonts w:ascii="Arial" w:hAnsi="Arial" w:eastAsia="Times New Roman" w:cs="Arial"/>
                <w:b/>
                <w:b/>
                <w:bCs/>
                <w:color w:val="auto"/>
                <w:szCs w:val="22"/>
                <w:lang w:eastAsia="it-IT"/>
              </w:rPr>
            </w:pPr>
            <w:r>
              <w:rPr>
                <w:rFonts w:ascii="Liberation Sans" w:hAnsi="Liberation Sans"/>
                <w:b w:val="false"/>
                <w:bCs w:val="false"/>
                <w:i w:val="false"/>
                <w:iCs w:val="false"/>
                <w:strike w:val="false"/>
                <w:dstrike w:val="false"/>
                <w:outline w:val="false"/>
                <w:shadow w:val="false"/>
                <w:color w:val="000000"/>
                <w:sz w:val="24"/>
                <w:szCs w:val="24"/>
                <w:u w:val="none"/>
              </w:rPr>
              <w:t>di cui variazioni di Giunta con i poteri propri ex art. 166 Tuel</w:t>
            </w:r>
          </w:p>
        </w:tc>
        <w:tc>
          <w:tcPr>
            <w:tcW w:w="2662" w:type="dxa"/>
            <w:tcBorders>
              <w:right w:val="single" w:sz="6" w:space="0" w:color="00599D"/>
            </w:tcBorders>
            <w:shd w:fill="DDDDDD" w:val="clear"/>
            <w:vAlign w:val="center"/>
          </w:tcPr>
          <w:p>
            <w:pPr>
              <w:pStyle w:val="Normal"/>
              <w:widowControl w:val="false"/>
              <w:tabs>
                <w:tab w:val="clear" w:pos="708"/>
              </w:tabs>
              <w:spacing w:before="0" w:after="200"/>
              <w:jc w:val="right"/>
              <w:rPr>
                <w:rFonts w:ascii="Liberation Sans" w:hAnsi="Liberation Sans"/>
                <w:b w:val="false"/>
                <w:b w:val="false"/>
                <w:bCs w:val="false"/>
                <w:i w:val="false"/>
                <w:i w:val="false"/>
                <w:iCs w:val="false"/>
                <w:strike w:val="false"/>
                <w:dstrike w:val="false"/>
                <w:outline w:val="false"/>
                <w:shadow w:val="false"/>
                <w:color w:val="000000"/>
                <w:sz w:val="24"/>
                <w:szCs w:val="24"/>
                <w:u w:val="none"/>
              </w:rPr>
            </w:pPr>
            <w:r>
              <w:rPr>
                <w:rFonts w:ascii="Liberation Sans" w:hAnsi="Liberation Sans"/>
                <w:b w:val="false"/>
                <w:bCs w:val="false"/>
                <w:i w:val="false"/>
                <w:iCs w:val="false"/>
                <w:strike w:val="false"/>
                <w:dstrike w:val="false"/>
                <w:outline w:val="false"/>
                <w:shadow w:val="false"/>
                <w:color w:val="000000"/>
                <w:sz w:val="24"/>
                <w:szCs w:val="24"/>
                <w:u w:val="none"/>
              </w:rPr>
              <w:t>n. 3</w:t>
            </w:r>
          </w:p>
        </w:tc>
      </w:tr>
      <w:tr>
        <w:trPr>
          <w:trHeight w:val="528" w:hRule="atLeast"/>
        </w:trPr>
        <w:tc>
          <w:tcPr>
            <w:tcW w:w="3470" w:type="dxa"/>
            <w:tcBorders>
              <w:left w:val="single" w:sz="6" w:space="0" w:color="00599D"/>
            </w:tcBorders>
            <w:vAlign w:val="center"/>
          </w:tcPr>
          <w:p>
            <w:pPr>
              <w:pStyle w:val="Normal"/>
              <w:widowControl w:val="false"/>
              <w:tabs>
                <w:tab w:val="clear" w:pos="708"/>
              </w:tabs>
              <w:spacing w:before="0" w:after="200"/>
              <w:jc w:val="left"/>
              <w:rPr>
                <w:rFonts w:ascii="Arial" w:hAnsi="Arial" w:eastAsia="Times New Roman" w:cs="Arial"/>
                <w:b/>
                <w:b/>
                <w:bCs/>
                <w:color w:val="auto"/>
                <w:szCs w:val="22"/>
                <w:lang w:eastAsia="it-IT"/>
              </w:rPr>
            </w:pPr>
            <w:r>
              <w:rPr>
                <w:rFonts w:ascii="Liberation Sans" w:hAnsi="Liberation Sans"/>
                <w:b w:val="false"/>
                <w:bCs w:val="false"/>
                <w:i w:val="false"/>
                <w:iCs w:val="false"/>
                <w:strike w:val="false"/>
                <w:dstrike w:val="false"/>
                <w:outline w:val="false"/>
                <w:shadow w:val="false"/>
                <w:color w:val="000000"/>
                <w:sz w:val="24"/>
                <w:szCs w:val="24"/>
                <w:u w:val="none"/>
              </w:rPr>
              <w:t>di cui variazioni di Giunta con i poteri propri ex art. 175 c. 5 bis Tuel</w:t>
            </w:r>
          </w:p>
        </w:tc>
        <w:tc>
          <w:tcPr>
            <w:tcW w:w="2662" w:type="dxa"/>
            <w:tcBorders>
              <w:right w:val="single" w:sz="6" w:space="0" w:color="00599D"/>
            </w:tcBorders>
            <w:vAlign w:val="center"/>
          </w:tcPr>
          <w:p>
            <w:pPr>
              <w:pStyle w:val="Normal"/>
              <w:widowControl w:val="false"/>
              <w:tabs>
                <w:tab w:val="clear" w:pos="708"/>
              </w:tabs>
              <w:spacing w:before="0" w:after="200"/>
              <w:jc w:val="right"/>
              <w:rPr>
                <w:rFonts w:ascii="Liberation Sans" w:hAnsi="Liberation Sans"/>
                <w:b w:val="false"/>
                <w:b w:val="false"/>
                <w:bCs w:val="false"/>
                <w:i w:val="false"/>
                <w:i w:val="false"/>
                <w:iCs w:val="false"/>
                <w:strike w:val="false"/>
                <w:dstrike w:val="false"/>
                <w:outline w:val="false"/>
                <w:shadow w:val="false"/>
                <w:color w:val="000000"/>
                <w:sz w:val="24"/>
                <w:szCs w:val="24"/>
                <w:u w:val="none"/>
              </w:rPr>
            </w:pPr>
            <w:r>
              <w:rPr>
                <w:rFonts w:ascii="Liberation Sans" w:hAnsi="Liberation Sans"/>
                <w:b w:val="false"/>
                <w:bCs w:val="false"/>
                <w:i w:val="false"/>
                <w:iCs w:val="false"/>
                <w:strike w:val="false"/>
                <w:dstrike w:val="false"/>
                <w:outline w:val="false"/>
                <w:shadow w:val="false"/>
                <w:color w:val="000000"/>
                <w:sz w:val="24"/>
                <w:szCs w:val="24"/>
                <w:u w:val="none"/>
              </w:rPr>
              <w:t>n. 2</w:t>
            </w:r>
          </w:p>
        </w:tc>
      </w:tr>
      <w:tr>
        <w:trPr>
          <w:trHeight w:val="792" w:hRule="atLeast"/>
        </w:trPr>
        <w:tc>
          <w:tcPr>
            <w:tcW w:w="3470" w:type="dxa"/>
            <w:tcBorders>
              <w:left w:val="single" w:sz="6" w:space="0" w:color="00599D"/>
            </w:tcBorders>
            <w:shd w:fill="DDDDDD" w:val="clear"/>
            <w:vAlign w:val="center"/>
          </w:tcPr>
          <w:p>
            <w:pPr>
              <w:pStyle w:val="Normal"/>
              <w:widowControl w:val="false"/>
              <w:tabs>
                <w:tab w:val="clear" w:pos="708"/>
              </w:tabs>
              <w:spacing w:before="0" w:after="200"/>
              <w:jc w:val="left"/>
              <w:rPr>
                <w:rFonts w:ascii="Arial" w:hAnsi="Arial" w:eastAsia="Times New Roman" w:cs="Arial"/>
                <w:b/>
                <w:b/>
                <w:bCs/>
                <w:color w:val="auto"/>
                <w:szCs w:val="22"/>
                <w:lang w:eastAsia="it-IT"/>
              </w:rPr>
            </w:pPr>
            <w:r>
              <w:rPr>
                <w:rFonts w:ascii="Liberation Sans" w:hAnsi="Liberation Sans"/>
                <w:b w:val="false"/>
                <w:bCs w:val="false"/>
                <w:i w:val="false"/>
                <w:iCs w:val="false"/>
                <w:strike w:val="false"/>
                <w:dstrike w:val="false"/>
                <w:outline w:val="false"/>
                <w:shadow w:val="false"/>
                <w:color w:val="000000"/>
                <w:sz w:val="24"/>
                <w:szCs w:val="24"/>
                <w:u w:val="none"/>
              </w:rPr>
              <w:t>di cui variazioni responsabile servizio finanziario ex art. 175 c. 5 quater Tuel</w:t>
            </w:r>
          </w:p>
        </w:tc>
        <w:tc>
          <w:tcPr>
            <w:tcW w:w="2662" w:type="dxa"/>
            <w:tcBorders>
              <w:right w:val="single" w:sz="6" w:space="0" w:color="00599D"/>
            </w:tcBorders>
            <w:shd w:fill="DDDDDD" w:val="clear"/>
            <w:vAlign w:val="center"/>
          </w:tcPr>
          <w:p>
            <w:pPr>
              <w:pStyle w:val="Normal"/>
              <w:widowControl w:val="false"/>
              <w:tabs>
                <w:tab w:val="clear" w:pos="708"/>
              </w:tabs>
              <w:spacing w:before="0" w:after="200"/>
              <w:jc w:val="right"/>
              <w:rPr>
                <w:rFonts w:ascii="Liberation Sans" w:hAnsi="Liberation Sans"/>
                <w:b w:val="false"/>
                <w:b w:val="false"/>
                <w:bCs w:val="false"/>
                <w:i w:val="false"/>
                <w:i w:val="false"/>
                <w:iCs w:val="false"/>
                <w:strike w:val="false"/>
                <w:dstrike w:val="false"/>
                <w:outline w:val="false"/>
                <w:shadow w:val="false"/>
                <w:color w:val="000000"/>
                <w:sz w:val="24"/>
                <w:szCs w:val="24"/>
                <w:u w:val="none"/>
              </w:rPr>
            </w:pPr>
            <w:r>
              <w:rPr>
                <w:rFonts w:ascii="Liberation Sans" w:hAnsi="Liberation Sans"/>
                <w:b w:val="false"/>
                <w:bCs w:val="false"/>
                <w:i w:val="false"/>
                <w:iCs w:val="false"/>
                <w:strike w:val="false"/>
                <w:dstrike w:val="false"/>
                <w:outline w:val="false"/>
                <w:shadow w:val="false"/>
                <w:color w:val="000000"/>
                <w:sz w:val="24"/>
                <w:szCs w:val="24"/>
                <w:u w:val="none"/>
              </w:rPr>
              <w:t>n. 18</w:t>
            </w:r>
          </w:p>
        </w:tc>
      </w:tr>
      <w:tr>
        <w:trPr>
          <w:trHeight w:val="792" w:hRule="atLeast"/>
        </w:trPr>
        <w:tc>
          <w:tcPr>
            <w:tcW w:w="3470" w:type="dxa"/>
            <w:tcBorders>
              <w:left w:val="single" w:sz="6" w:space="0" w:color="00599D"/>
            </w:tcBorders>
            <w:vAlign w:val="center"/>
          </w:tcPr>
          <w:p>
            <w:pPr>
              <w:pStyle w:val="Normal"/>
              <w:widowControl w:val="false"/>
              <w:tabs>
                <w:tab w:val="clear" w:pos="708"/>
              </w:tabs>
              <w:spacing w:before="0" w:after="200"/>
              <w:jc w:val="left"/>
              <w:rPr>
                <w:rFonts w:ascii="Arial" w:hAnsi="Arial" w:eastAsia="Times New Roman" w:cs="Arial"/>
                <w:b/>
                <w:b/>
                <w:bCs/>
                <w:color w:val="auto"/>
                <w:szCs w:val="22"/>
                <w:lang w:eastAsia="it-IT"/>
              </w:rPr>
            </w:pPr>
            <w:r>
              <w:rPr>
                <w:rFonts w:ascii="Liberation Sans" w:hAnsi="Liberation Sans"/>
                <w:b w:val="false"/>
                <w:bCs w:val="false"/>
                <w:i w:val="false"/>
                <w:iCs w:val="false"/>
                <w:strike w:val="false"/>
                <w:dstrike w:val="false"/>
                <w:outline w:val="false"/>
                <w:shadow w:val="false"/>
                <w:color w:val="000000"/>
                <w:sz w:val="24"/>
                <w:szCs w:val="24"/>
                <w:u w:val="none"/>
              </w:rPr>
              <w:t>di cui variazioni del responsabile servizio finanziario per applicazione avanzo vincolato</w:t>
            </w:r>
          </w:p>
        </w:tc>
        <w:tc>
          <w:tcPr>
            <w:tcW w:w="2662" w:type="dxa"/>
            <w:tcBorders>
              <w:right w:val="single" w:sz="6" w:space="0" w:color="00599D"/>
            </w:tcBorders>
            <w:vAlign w:val="center"/>
          </w:tcPr>
          <w:p>
            <w:pPr>
              <w:pStyle w:val="Normal"/>
              <w:widowControl w:val="false"/>
              <w:tabs>
                <w:tab w:val="clear" w:pos="708"/>
              </w:tabs>
              <w:spacing w:before="0" w:after="200"/>
              <w:jc w:val="right"/>
              <w:rPr>
                <w:rFonts w:ascii="Liberation Sans" w:hAnsi="Liberation Sans"/>
                <w:b w:val="false"/>
                <w:b w:val="false"/>
                <w:bCs w:val="false"/>
                <w:i w:val="false"/>
                <w:i w:val="false"/>
                <w:iCs w:val="false"/>
                <w:strike w:val="false"/>
                <w:dstrike w:val="false"/>
                <w:outline w:val="false"/>
                <w:shadow w:val="false"/>
                <w:color w:val="000000"/>
                <w:sz w:val="24"/>
                <w:szCs w:val="24"/>
                <w:u w:val="none"/>
              </w:rPr>
            </w:pPr>
            <w:r>
              <w:rPr>
                <w:rFonts w:ascii="Liberation Sans" w:hAnsi="Liberation Sans"/>
                <w:b w:val="false"/>
                <w:bCs w:val="false"/>
                <w:i w:val="false"/>
                <w:iCs w:val="false"/>
                <w:strike w:val="false"/>
                <w:dstrike w:val="false"/>
                <w:outline w:val="false"/>
                <w:shadow w:val="false"/>
                <w:color w:val="000000"/>
                <w:sz w:val="24"/>
                <w:szCs w:val="24"/>
                <w:u w:val="none"/>
              </w:rPr>
              <w:t>n. 0</w:t>
            </w:r>
          </w:p>
        </w:tc>
      </w:tr>
      <w:tr>
        <w:trPr>
          <w:trHeight w:val="792" w:hRule="atLeast"/>
        </w:trPr>
        <w:tc>
          <w:tcPr>
            <w:tcW w:w="3470" w:type="dxa"/>
            <w:tcBorders>
              <w:top w:val="single" w:sz="6" w:space="0" w:color="00599D"/>
              <w:left w:val="single" w:sz="6" w:space="0" w:color="00599D"/>
              <w:bottom w:val="single" w:sz="6" w:space="0" w:color="00599D"/>
            </w:tcBorders>
            <w:shd w:fill="ADC5E7" w:val="clear"/>
            <w:vAlign w:val="center"/>
          </w:tcPr>
          <w:p>
            <w:pPr>
              <w:pStyle w:val="Normal"/>
              <w:widowControl w:val="false"/>
              <w:tabs>
                <w:tab w:val="clear" w:pos="708"/>
              </w:tabs>
              <w:spacing w:before="0" w:after="200"/>
              <w:jc w:val="left"/>
              <w:rPr>
                <w:rFonts w:ascii="Arial" w:hAnsi="Arial" w:eastAsia="Times New Roman" w:cs="Arial"/>
                <w:b/>
                <w:b/>
                <w:bCs/>
                <w:color w:val="auto"/>
                <w:szCs w:val="22"/>
                <w:lang w:eastAsia="it-IT"/>
              </w:rPr>
            </w:pPr>
            <w:r>
              <w:rPr>
                <w:rFonts w:ascii="Liberation Sans" w:hAnsi="Liberation Sans"/>
                <w:b/>
                <w:bCs/>
                <w:i w:val="false"/>
                <w:iCs w:val="false"/>
                <w:strike w:val="false"/>
                <w:dstrike w:val="false"/>
                <w:outline w:val="false"/>
                <w:shadow w:val="false"/>
                <w:color w:val="000000"/>
                <w:sz w:val="24"/>
                <w:szCs w:val="24"/>
                <w:u w:val="none"/>
              </w:rPr>
              <w:t>di cui variazioni di altri responsabili se previsto dal regolamento di contabilità</w:t>
            </w:r>
          </w:p>
        </w:tc>
        <w:tc>
          <w:tcPr>
            <w:tcW w:w="2662" w:type="dxa"/>
            <w:tcBorders>
              <w:top w:val="single" w:sz="6" w:space="0" w:color="00599D"/>
              <w:bottom w:val="single" w:sz="6" w:space="0" w:color="00599D"/>
              <w:right w:val="single" w:sz="6" w:space="0" w:color="00599D"/>
            </w:tcBorders>
            <w:shd w:fill="ADC5E7" w:val="clear"/>
            <w:vAlign w:val="center"/>
          </w:tcPr>
          <w:p>
            <w:pPr>
              <w:pStyle w:val="Normal"/>
              <w:widowControl w:val="false"/>
              <w:tabs>
                <w:tab w:val="clear" w:pos="708"/>
              </w:tabs>
              <w:spacing w:before="0" w:after="200"/>
              <w:jc w:val="right"/>
              <w:rPr>
                <w:rFonts w:ascii="Liberation Sans" w:hAnsi="Liberation Sans"/>
                <w:b/>
                <w:b/>
                <w:bCs/>
                <w:i w:val="false"/>
                <w:i w:val="false"/>
                <w:iCs w:val="false"/>
                <w:strike w:val="false"/>
                <w:dstrike w:val="false"/>
                <w:outline w:val="false"/>
                <w:shadow w:val="false"/>
                <w:color w:val="000000"/>
                <w:sz w:val="24"/>
                <w:szCs w:val="24"/>
                <w:u w:val="none"/>
              </w:rPr>
            </w:pPr>
            <w:r>
              <w:rPr>
                <w:rFonts w:ascii="Liberation Sans" w:hAnsi="Liberation Sans"/>
                <w:b/>
                <w:bCs/>
                <w:i w:val="false"/>
                <w:iCs w:val="false"/>
                <w:strike w:val="false"/>
                <w:dstrike w:val="false"/>
                <w:outline w:val="false"/>
                <w:shadow w:val="false"/>
                <w:color w:val="000000"/>
                <w:sz w:val="24"/>
                <w:szCs w:val="24"/>
                <w:u w:val="none"/>
              </w:rPr>
              <w:t>n. 0 (non sussiste la fattispecie)</w:t>
            </w:r>
          </w:p>
        </w:tc>
      </w:tr>
    </w:tbl>
    <w:p>
      <w:pPr>
        <w:pStyle w:val="Normal"/>
        <w:rPr>
          <w:rFonts w:ascii="Arial" w:hAnsi="Arial" w:eastAsia="Times New Roman" w:cs="Arial"/>
          <w:b/>
          <w:b/>
          <w:bCs/>
          <w:color w:val="auto"/>
          <w:szCs w:val="22"/>
          <w:lang w:eastAsia="it-IT"/>
        </w:rPr>
      </w:pPr>
      <w:r>
        <w:rPr>
          <w:rFonts w:eastAsia="Times New Roman" w:cs="Arial" w:ascii="Arial" w:hAnsi="Arial"/>
          <w:b/>
          <w:bCs/>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bCs/>
          <w:color w:val="auto"/>
          <w:szCs w:val="22"/>
          <w:lang w:eastAsia="it-IT"/>
        </w:rPr>
      </w:pPr>
      <w:r>
        <w:rPr>
          <w:rFonts w:eastAsia="Times New Roman" w:cs="Arial" w:ascii="Arial" w:hAnsi="Arial"/>
          <w:b/>
          <w:bCs/>
          <w:color w:val="auto"/>
          <w:szCs w:val="22"/>
          <w:lang w:eastAsia="it-IT"/>
        </w:rPr>
      </w:r>
    </w:p>
    <w:p>
      <w:pPr>
        <w:pStyle w:val="Normal"/>
        <w:widowControl w:val="false"/>
        <w:overflowPunct w:val="true"/>
        <w:spacing w:lineRule="auto" w:line="240" w:before="0" w:after="120"/>
        <w:ind w:left="283"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10"/>
        </w:numPr>
        <w:suppressAutoHyphens w:val="true"/>
        <w:overflowPunct w:val="true"/>
        <w:spacing w:lineRule="auto" w:line="240" w:before="0" w:after="120"/>
        <w:ind w:hanging="2"/>
        <w:textAlignment w:val="baseline"/>
        <w:rPr>
          <w:rFonts w:ascii="Arial" w:hAnsi="Arial" w:eastAsia="Times New Roman" w:cs="Arial"/>
          <w:i/>
          <w:i/>
          <w:iCs/>
          <w:color w:val="00B0F0"/>
          <w:szCs w:val="22"/>
          <w:lang w:eastAsia="it-IT"/>
        </w:rPr>
      </w:pPr>
      <w:r>
        <w:rPr>
          <w:rFonts w:eastAsia="Times New Roman" w:cs="Arial" w:ascii="Arial" w:hAnsi="Arial"/>
          <w:color w:val="auto"/>
          <w:szCs w:val="22"/>
          <w:lang w:eastAsia="it-IT"/>
        </w:rPr>
        <w:t>le funzioni richiamate ed i relativi pareri espressi dall’Organo di revisione (qualora dovuti) risultano dettagliatamente riportati nella documentazione a supporto dell’attività di vigilanza svolta;</w:t>
      </w:r>
      <w:r>
        <w:rPr>
          <w:rFonts w:eastAsia="Times New Roman" w:cs="Arial" w:ascii="Arial" w:hAnsi="Arial"/>
          <w:i/>
          <w:iCs/>
          <w:color w:val="00B0F0"/>
          <w:szCs w:val="22"/>
          <w:lang w:eastAsia="it-IT"/>
        </w:rPr>
        <w:t xml:space="preserve"> </w:t>
      </w:r>
    </w:p>
    <w:p>
      <w:pPr>
        <w:pStyle w:val="Normal"/>
        <w:widowControl w:val="false"/>
        <w:numPr>
          <w:ilvl w:val="0"/>
          <w:numId w:val="0"/>
        </w:numPr>
        <w:suppressAutoHyphens w:val="true"/>
        <w:overflowPunct w:val="true"/>
        <w:spacing w:lineRule="auto" w:line="240" w:before="0" w:after="120"/>
        <w:ind w:left="0" w:hanging="0"/>
        <w:textAlignment w:val="baseline"/>
        <w:rPr>
          <w:rFonts w:ascii="Arial" w:hAnsi="Arial" w:eastAsia="Times New Roman" w:cs="Arial"/>
          <w:iCs/>
          <w:caps/>
          <w:color w:val="auto"/>
          <w:szCs w:val="22"/>
          <w:lang w:eastAsia="it-IT"/>
        </w:rPr>
      </w:pPr>
      <w:r>
        <w:rPr>
          <w:rFonts w:eastAsia="Times New Roman" w:cs="Arial" w:ascii="Arial" w:hAnsi="Arial"/>
          <w:iCs/>
          <w:caps/>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iCs/>
          <w:caps/>
          <w:color w:val="auto"/>
          <w:szCs w:val="22"/>
          <w:lang w:eastAsia="it-IT"/>
        </w:rPr>
      </w:pPr>
      <w:r>
        <w:rPr>
          <w:rFonts w:eastAsia="Times New Roman" w:cs="Arial" w:ascii="Arial" w:hAnsi="Arial"/>
          <w:b/>
          <w:iCs/>
          <w:caps/>
          <w:color w:val="auto"/>
          <w:szCs w:val="22"/>
          <w:lang w:eastAsia="it-IT"/>
        </w:rPr>
        <w:t xml:space="preserve">RiportaNO </w:t>
      </w:r>
    </w:p>
    <w:p>
      <w:pPr>
        <w:pStyle w:val="Normal"/>
        <w:widowControl w:val="false"/>
        <w:overflowPunct w:val="true"/>
        <w:spacing w:lineRule="auto" w:line="240" w:before="0" w:after="120"/>
        <w:contextualSpacing/>
        <w:jc w:val="center"/>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i risultati dell’analisi e le attestazioni sul rendiconto per l’esercizio 2024.</w:t>
      </w:r>
    </w:p>
    <w:p>
      <w:pPr>
        <w:pStyle w:val="Titolo2"/>
        <w:numPr>
          <w:ilvl w:val="1"/>
          <w:numId w:val="62"/>
        </w:numPr>
        <w:ind w:left="851" w:hanging="491"/>
        <w:rPr/>
      </w:pPr>
      <w:bookmarkStart w:id="1" w:name="_Toc192666968"/>
      <w:bookmarkStart w:id="2" w:name="_Toc130060181"/>
      <w:bookmarkStart w:id="3" w:name="_Toc130056238"/>
      <w:r>
        <w:rPr/>
        <w:t>Verifiche preliminari</w:t>
      </w:r>
      <w:bookmarkEnd w:id="1"/>
      <w:bookmarkEnd w:id="2"/>
      <w:bookmarkEnd w:id="3"/>
    </w:p>
    <w:p>
      <w:pPr>
        <w:pStyle w:val="Normal"/>
        <w:widowControl w:val="false"/>
        <w:overflowPunct w:val="true"/>
        <w:spacing w:lineRule="auto" w:line="240" w:before="120" w:after="120"/>
        <w:textAlignment w:val="baseline"/>
        <w:rPr>
          <w:rFonts w:ascii="Arial" w:hAnsi="Arial" w:eastAsia="Times New Roman" w:cs="Arial"/>
          <w:b/>
          <w:b/>
          <w:i/>
          <w:i/>
          <w:iCs/>
          <w:color w:val="00B0F0"/>
          <w:szCs w:val="22"/>
          <w:lang w:eastAsia="it-IT"/>
        </w:rPr>
      </w:pPr>
      <w:r>
        <w:rPr>
          <w:rFonts w:eastAsia="Times New Roman" w:cs="Arial" w:ascii="Arial" w:hAnsi="Arial"/>
          <w:b/>
          <w:i/>
          <w:iCs/>
          <w:color w:val="00B0F0"/>
          <w:szCs w:val="22"/>
          <w:lang w:eastAsia="it-IT"/>
        </w:rPr>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L’Ente registra una popolazione al 01.01.2024, ai sensi dell’art.156, comma 2, del TUEL, di n. 21.556 abitanti mentre al 31.12.2024 la popol</w:t>
      </w:r>
      <w:r>
        <w:rPr>
          <w:rFonts w:eastAsia="Times New Roman" w:cs="Arial" w:ascii="Arial" w:hAnsi="Arial"/>
          <w:color w:val="auto"/>
          <w:sz w:val="22"/>
          <w:szCs w:val="22"/>
          <w:lang w:eastAsia="it-IT"/>
        </w:rPr>
        <w:t xml:space="preserve">azione risultava essere di n. </w:t>
      </w:r>
      <w:r>
        <w:rPr>
          <w:rFonts w:eastAsia="Times New Roman" w:cs="Arial" w:ascii="Arial" w:hAnsi="Arial"/>
          <w:b w:val="false"/>
          <w:i w:val="false"/>
          <w:caps w:val="false"/>
          <w:smallCaps w:val="false"/>
          <w:color w:val="000000"/>
          <w:spacing w:val="0"/>
          <w:sz w:val="22"/>
          <w:szCs w:val="22"/>
          <w:lang w:eastAsia="it-IT"/>
        </w:rPr>
        <w:t>21.524</w:t>
      </w:r>
      <w:r>
        <w:rPr>
          <w:rFonts w:eastAsia="Times New Roman" w:cs="Arial" w:ascii="Arial" w:hAnsi="Arial"/>
          <w:color w:val="auto"/>
          <w:sz w:val="22"/>
          <w:szCs w:val="22"/>
          <w:lang w:eastAsia="it-IT"/>
        </w:rPr>
        <w:t xml:space="preserve"> abit</w:t>
      </w:r>
      <w:r>
        <w:rPr>
          <w:rFonts w:eastAsia="Times New Roman" w:cs="Arial" w:ascii="Arial" w:hAnsi="Arial"/>
          <w:color w:val="auto"/>
          <w:szCs w:val="22"/>
          <w:lang w:eastAsia="it-IT"/>
        </w:rPr>
        <w:t>anti.</w:t>
      </w:r>
    </w:p>
    <w:p>
      <w:pPr>
        <w:pStyle w:val="Normal"/>
        <w:widowControl w:val="false"/>
        <w:overflowPunct w:val="true"/>
        <w:spacing w:lineRule="auto" w:line="240" w:before="0" w:after="12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L’Ente </w:t>
      </w:r>
      <w:r>
        <w:rPr>
          <w:rFonts w:eastAsia="Times New Roman" w:cs="Arial" w:ascii="Arial" w:hAnsi="Arial"/>
          <w:b/>
          <w:bCs/>
          <w:i/>
          <w:iCs/>
          <w:color w:val="auto"/>
          <w:szCs w:val="22"/>
          <w:lang w:eastAsia="it-IT"/>
        </w:rPr>
        <w:t>non è in dissesto</w:t>
      </w:r>
      <w:r>
        <w:rPr>
          <w:rFonts w:eastAsia="Times New Roman" w:cs="Arial" w:ascii="Arial" w:hAnsi="Arial"/>
          <w:color w:val="auto"/>
          <w:szCs w:val="22"/>
          <w:lang w:eastAsia="it-IT"/>
        </w:rPr>
        <w:t>;</w:t>
      </w:r>
    </w:p>
    <w:p>
      <w:pPr>
        <w:pStyle w:val="Normal"/>
        <w:widowControl w:val="false"/>
        <w:overflowPunct w:val="true"/>
        <w:spacing w:lineRule="auto" w:line="240" w:before="0" w:after="120"/>
        <w:ind w:left="1080" w:hanging="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color w:val="000000"/>
          <w:szCs w:val="22"/>
          <w:lang w:eastAsia="it-IT"/>
        </w:rPr>
      </w:pPr>
      <w:r>
        <w:rPr>
          <w:rFonts w:eastAsia="Times New Roman" w:cs="Arial" w:ascii="Arial" w:hAnsi="Arial"/>
          <w:color w:val="000000" w:themeColor="text1" w:themeTint="bf"/>
          <w:szCs w:val="22"/>
          <w:lang w:eastAsia="it-IT"/>
        </w:rPr>
        <w:t>L’Organo di revisione precisa che:</w:t>
      </w:r>
    </w:p>
    <w:p>
      <w:pPr>
        <w:pStyle w:val="Normal"/>
        <w:widowControl w:val="false"/>
        <w:numPr>
          <w:ilvl w:val="0"/>
          <w:numId w:val="4"/>
        </w:numPr>
        <w:suppressAutoHyphens w:val="true"/>
        <w:overflowPunct w:val="true"/>
        <w:spacing w:lineRule="auto" w:line="240" w:before="0" w:after="120"/>
        <w:ind w:left="0" w:hanging="2"/>
        <w:contextualSpacing/>
        <w:jc w:val="left"/>
        <w:textAlignment w:val="baseline"/>
        <w:rPr>
          <w:rFonts w:ascii="Arial" w:hAnsi="Arial" w:eastAsia="Times New Roman" w:cs="Arial"/>
          <w:color w:val="auto"/>
          <w:szCs w:val="22"/>
          <w:lang w:eastAsia="it-IT"/>
        </w:rPr>
      </w:pPr>
      <w:r>
        <w:rPr>
          <w:rFonts w:eastAsia="Times New Roman" w:cs="Arial" w:ascii="Arial" w:hAnsi="Arial"/>
          <w:color w:val="auto" w:themeColor="text1" w:themeTint="bf"/>
          <w:szCs w:val="22"/>
          <w:lang w:eastAsia="it-IT"/>
        </w:rPr>
        <w:t>l’Ente</w:t>
      </w:r>
      <w:r>
        <w:rPr>
          <w:rFonts w:eastAsia="Times New Roman" w:cs="Arial" w:ascii="Arial" w:hAnsi="Arial"/>
          <w:b/>
          <w:bCs/>
          <w:color w:val="auto" w:themeColor="text1" w:themeTint="bf"/>
          <w:szCs w:val="22"/>
          <w:lang w:eastAsia="it-IT"/>
        </w:rPr>
        <w:t xml:space="preserve"> non è istituito</w:t>
      </w:r>
      <w:r>
        <w:rPr>
          <w:rFonts w:eastAsia="Times New Roman" w:cs="Arial" w:ascii="Arial" w:hAnsi="Arial"/>
          <w:color w:val="auto" w:themeColor="text1" w:themeTint="bf"/>
          <w:szCs w:val="22"/>
          <w:lang w:eastAsia="it-IT"/>
        </w:rPr>
        <w:t xml:space="preserve"> a seguito di processo di unione;</w:t>
      </w:r>
    </w:p>
    <w:p>
      <w:pPr>
        <w:pStyle w:val="Normal"/>
        <w:widowControl w:val="false"/>
        <w:numPr>
          <w:ilvl w:val="0"/>
          <w:numId w:val="4"/>
        </w:numPr>
        <w:suppressAutoHyphens w:val="true"/>
        <w:overflowPunct w:val="true"/>
        <w:spacing w:lineRule="auto" w:line="240" w:before="0" w:after="120"/>
        <w:ind w:left="0" w:hanging="2"/>
        <w:contextualSpacing/>
        <w:jc w:val="left"/>
        <w:textAlignment w:val="baseline"/>
        <w:rPr>
          <w:rFonts w:ascii="Arial" w:hAnsi="Arial" w:eastAsia="Times New Roman" w:cs="Arial"/>
          <w:color w:val="auto"/>
          <w:szCs w:val="22"/>
          <w:lang w:eastAsia="it-IT"/>
        </w:rPr>
      </w:pPr>
      <w:r>
        <w:rPr>
          <w:rFonts w:eastAsia="Times New Roman" w:cs="Arial" w:ascii="Arial" w:hAnsi="Arial"/>
          <w:color w:val="auto" w:themeColor="text1" w:themeTint="bf"/>
          <w:szCs w:val="22"/>
          <w:lang w:eastAsia="it-IT"/>
        </w:rPr>
        <w:t>l’Ente</w:t>
      </w:r>
      <w:r>
        <w:rPr>
          <w:rFonts w:eastAsia="Times New Roman" w:cs="Arial" w:ascii="Arial" w:hAnsi="Arial"/>
          <w:b/>
          <w:bCs/>
          <w:color w:val="auto" w:themeColor="text1" w:themeTint="bf"/>
          <w:szCs w:val="22"/>
          <w:lang w:eastAsia="it-IT"/>
        </w:rPr>
        <w:t xml:space="preserve"> non è istituito</w:t>
      </w:r>
      <w:r>
        <w:rPr>
          <w:rFonts w:eastAsia="Times New Roman" w:cs="Arial" w:ascii="Arial" w:hAnsi="Arial"/>
          <w:color w:val="auto" w:themeColor="text1" w:themeTint="bf"/>
          <w:szCs w:val="22"/>
          <w:lang w:eastAsia="it-IT"/>
        </w:rPr>
        <w:t xml:space="preserve"> a seguito di processo di fusione per incorporazione;</w:t>
      </w:r>
    </w:p>
    <w:p>
      <w:pPr>
        <w:pStyle w:val="Normal"/>
        <w:widowControl w:val="false"/>
        <w:numPr>
          <w:ilvl w:val="0"/>
          <w:numId w:val="4"/>
        </w:numPr>
        <w:suppressAutoHyphens w:val="true"/>
        <w:overflowPunct w:val="true"/>
        <w:spacing w:lineRule="auto" w:line="240" w:before="0" w:after="120"/>
        <w:ind w:left="0" w:hanging="2"/>
        <w:contextualSpacing/>
        <w:jc w:val="left"/>
        <w:textAlignment w:val="baseline"/>
        <w:rPr>
          <w:rFonts w:ascii="Arial" w:hAnsi="Arial" w:eastAsia="Times New Roman" w:cs="Arial"/>
          <w:color w:val="auto"/>
          <w:szCs w:val="22"/>
          <w:lang w:eastAsia="it-IT"/>
        </w:rPr>
      </w:pPr>
      <w:r>
        <w:rPr>
          <w:rFonts w:eastAsia="Times New Roman" w:cs="Arial" w:ascii="Arial" w:hAnsi="Arial"/>
          <w:color w:val="auto" w:themeColor="text1" w:themeTint="bf"/>
          <w:szCs w:val="22"/>
          <w:lang w:eastAsia="it-IT"/>
        </w:rPr>
        <w:t xml:space="preserve">l’Ente non è terremotato; </w:t>
      </w:r>
    </w:p>
    <w:p>
      <w:pPr>
        <w:pStyle w:val="Normal"/>
        <w:widowControl w:val="false"/>
        <w:numPr>
          <w:ilvl w:val="0"/>
          <w:numId w:val="4"/>
        </w:numPr>
        <w:suppressAutoHyphens w:val="true"/>
        <w:overflowPunct w:val="true"/>
        <w:spacing w:lineRule="auto" w:line="240" w:before="0" w:after="120"/>
        <w:ind w:left="0" w:hanging="2"/>
        <w:contextualSpacing/>
        <w:jc w:val="left"/>
        <w:textAlignment w:val="baseline"/>
        <w:rPr>
          <w:rFonts w:ascii="Arial" w:hAnsi="Arial" w:eastAsia="Times New Roman" w:cs="Arial"/>
          <w:color w:val="auto"/>
          <w:szCs w:val="22"/>
          <w:lang w:eastAsia="it-IT"/>
        </w:rPr>
      </w:pPr>
      <w:r>
        <w:rPr>
          <w:rFonts w:eastAsia="Times New Roman" w:cs="Arial" w:ascii="Arial" w:hAnsi="Arial"/>
          <w:color w:val="auto" w:themeColor="text1" w:themeTint="bf"/>
          <w:szCs w:val="22"/>
          <w:lang w:eastAsia="it-IT"/>
        </w:rPr>
        <w:t>l’Ente non è alluvionato;</w:t>
      </w:r>
    </w:p>
    <w:p>
      <w:pPr>
        <w:pStyle w:val="Normal"/>
        <w:widowControl w:val="false"/>
        <w:numPr>
          <w:ilvl w:val="0"/>
          <w:numId w:val="4"/>
        </w:numPr>
        <w:suppressAutoHyphens w:val="true"/>
        <w:overflowPunct w:val="true"/>
        <w:spacing w:lineRule="auto" w:line="240" w:before="0" w:after="120"/>
        <w:ind w:left="0" w:hanging="2"/>
        <w:contextualSpacing/>
        <w:jc w:val="left"/>
        <w:textAlignment w:val="baseline"/>
        <w:rPr>
          <w:rFonts w:ascii="Arial" w:hAnsi="Arial" w:eastAsia="Times New Roman" w:cs="Arial"/>
          <w:color w:val="auto"/>
          <w:szCs w:val="22"/>
          <w:lang w:eastAsia="it-IT"/>
        </w:rPr>
      </w:pPr>
      <w:r>
        <w:rPr>
          <w:rFonts w:eastAsia="Times New Roman" w:cs="Arial" w:ascii="Arial" w:hAnsi="Arial"/>
          <w:color w:val="auto" w:themeColor="text1" w:themeTint="bf"/>
          <w:szCs w:val="22"/>
          <w:lang w:eastAsia="it-IT"/>
        </w:rPr>
        <w:t>l’Ente non partecipa all’Unione dei Comuni;</w:t>
      </w:r>
    </w:p>
    <w:p>
      <w:pPr>
        <w:pStyle w:val="Normal"/>
        <w:widowControl w:val="false"/>
        <w:numPr>
          <w:ilvl w:val="0"/>
          <w:numId w:val="4"/>
        </w:numPr>
        <w:suppressAutoHyphens w:val="true"/>
        <w:overflowPunct w:val="true"/>
        <w:spacing w:lineRule="auto" w:line="240" w:before="0" w:after="120"/>
        <w:ind w:left="0" w:hanging="2"/>
        <w:contextualSpacing/>
        <w:jc w:val="left"/>
        <w:textAlignment w:val="baseline"/>
        <w:rPr>
          <w:rFonts w:ascii="Arial" w:hAnsi="Arial" w:eastAsia="Times New Roman" w:cs="Arial"/>
          <w:color w:val="auto"/>
          <w:szCs w:val="22"/>
          <w:lang w:eastAsia="it-IT"/>
        </w:rPr>
      </w:pPr>
      <w:r>
        <w:rPr>
          <w:rFonts w:eastAsia="Times New Roman" w:cs="Arial" w:ascii="Arial" w:hAnsi="Arial"/>
          <w:iCs/>
          <w:color w:val="auto" w:themeColor="text1" w:themeTint="bf"/>
          <w:szCs w:val="22"/>
          <w:lang w:eastAsia="it-IT"/>
        </w:rPr>
        <w:t>l’Ente non partecipa al Consorzio di Comuni;</w:t>
      </w:r>
    </w:p>
    <w:p>
      <w:pPr>
        <w:pStyle w:val="Normal"/>
        <w:widowControl w:val="false"/>
        <w:overflowPunct w:val="true"/>
        <w:spacing w:lineRule="auto" w:line="240" w:before="0" w:after="120"/>
        <w:ind w:left="1080" w:hanging="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spacing w:lineRule="auto" w:line="240" w:before="0" w:after="0"/>
        <w:rPr>
          <w:rFonts w:ascii="Arial" w:hAnsi="Arial" w:eastAsia="Times New Roman" w:cs="Arial"/>
          <w:color w:val="000000"/>
          <w:szCs w:val="22"/>
          <w:lang w:eastAsia="it-IT"/>
        </w:rPr>
      </w:pPr>
      <w:r>
        <w:rPr>
          <w:rFonts w:eastAsia="Times New Roman" w:cs="Arial" w:ascii="Arial" w:hAnsi="Arial"/>
          <w:color w:val="000000"/>
          <w:szCs w:val="22"/>
          <w:lang w:eastAsia="it-IT"/>
        </w:rPr>
        <w:t xml:space="preserve">L’Organo di revisione, nel corso del 2024, </w:t>
      </w:r>
      <w:r>
        <w:rPr>
          <w:rFonts w:eastAsia="Times New Roman" w:cs="Arial" w:ascii="Arial" w:hAnsi="Arial"/>
          <w:b/>
          <w:i/>
          <w:color w:val="000000"/>
          <w:szCs w:val="22"/>
          <w:lang w:eastAsia="it-IT"/>
        </w:rPr>
        <w:t>non ha rilevato</w:t>
      </w:r>
      <w:r>
        <w:rPr>
          <w:rFonts w:eastAsia="Times New Roman" w:cs="Arial" w:ascii="Arial" w:hAnsi="Arial"/>
          <w:color w:val="000000"/>
          <w:szCs w:val="22"/>
          <w:lang w:eastAsia="it-IT"/>
        </w:rPr>
        <w:t xml:space="preserve"> gravi irregolarità contabili o gravi anomalie gestionali e/o suggerito misure correttive non adottate dall’Ente. </w:t>
      </w:r>
    </w:p>
    <w:p>
      <w:pPr>
        <w:pStyle w:val="Normal"/>
        <w:spacing w:lineRule="auto" w:line="240" w:before="0" w:after="0"/>
        <w:rPr>
          <w:rFonts w:ascii="Arial" w:hAnsi="Arial" w:eastAsia="Times New Roman" w:cs="Arial"/>
          <w:color w:val="000000"/>
          <w:szCs w:val="22"/>
          <w:lang w:eastAsia="it-IT"/>
        </w:rPr>
      </w:pPr>
      <w:r>
        <w:rPr>
          <w:rFonts w:eastAsia="Times New Roman" w:cs="Arial" w:ascii="Arial" w:hAnsi="Arial"/>
          <w:color w:val="000000"/>
          <w:szCs w:val="22"/>
          <w:lang w:eastAsia="it-IT"/>
        </w:rPr>
      </w:r>
    </w:p>
    <w:p>
      <w:pPr>
        <w:pStyle w:val="Normal"/>
        <w:widowControl w:val="false"/>
        <w:overflowPunct w:val="true"/>
        <w:spacing w:lineRule="auto" w:line="240" w:before="0" w:after="120"/>
        <w:textAlignment w:val="baseline"/>
        <w:rPr>
          <w:rFonts w:ascii="Arial" w:hAnsi="Arial" w:eastAsia="Times New Roman" w:cs="Arial"/>
          <w:color w:val="000000"/>
          <w:szCs w:val="22"/>
          <w:lang w:eastAsia="it-IT"/>
        </w:rPr>
      </w:pPr>
      <w:r>
        <w:rPr>
          <w:rFonts w:eastAsia="Times New Roman" w:cs="Arial" w:ascii="Arial" w:hAnsi="Arial"/>
          <w:color w:val="auto"/>
          <w:szCs w:val="22"/>
          <w:lang w:eastAsia="it-IT"/>
        </w:rPr>
        <w:t xml:space="preserve">L’Organo di revisione </w:t>
      </w:r>
      <w:r>
        <w:rPr>
          <w:rFonts w:eastAsia="Times New Roman" w:cs="Arial" w:ascii="Arial" w:hAnsi="Arial"/>
          <w:color w:val="000000"/>
          <w:szCs w:val="22"/>
          <w:lang w:eastAsia="it-IT"/>
        </w:rPr>
        <w:t>ha verificato che:</w:t>
      </w:r>
    </w:p>
    <w:p>
      <w:pPr>
        <w:pStyle w:val="Normal"/>
        <w:widowControl w:val="false"/>
        <w:overflowPunct w:val="true"/>
        <w:spacing w:lineRule="auto" w:line="240" w:before="0" w:after="120"/>
        <w:contextualSpacing/>
        <w:textAlignment w:val="baseline"/>
        <w:rPr>
          <w:rFonts w:ascii="Arial" w:hAnsi="Arial" w:eastAsia="Times New Roman" w:cs="Arial"/>
          <w:color w:val="000000"/>
          <w:szCs w:val="22"/>
          <w:lang w:eastAsia="it-IT"/>
        </w:rPr>
      </w:pPr>
      <w:r>
        <w:rPr>
          <w:rFonts w:eastAsia="Times New Roman" w:cs="Arial" w:ascii="Arial" w:hAnsi="Arial"/>
          <w:color w:val="000000"/>
          <w:szCs w:val="22"/>
          <w:lang w:eastAsia="it-IT"/>
        </w:rPr>
        <w:t xml:space="preserve">- l’Ente </w:t>
      </w:r>
      <w:r>
        <w:rPr>
          <w:rFonts w:eastAsia="Times New Roman" w:cs="Arial" w:ascii="Arial" w:hAnsi="Arial"/>
          <w:b/>
          <w:i/>
          <w:color w:val="000000"/>
          <w:szCs w:val="22"/>
          <w:lang w:eastAsia="it-IT"/>
        </w:rPr>
        <w:t>risulta</w:t>
      </w:r>
      <w:r>
        <w:rPr>
          <w:rFonts w:eastAsia="Times New Roman" w:cs="Arial" w:ascii="Arial" w:hAnsi="Arial"/>
          <w:i/>
          <w:color w:val="000000"/>
          <w:szCs w:val="22"/>
          <w:lang w:eastAsia="it-IT"/>
        </w:rPr>
        <w:t xml:space="preserve"> </w:t>
      </w:r>
      <w:r>
        <w:rPr>
          <w:rFonts w:eastAsia="Times New Roman" w:cs="Arial" w:ascii="Arial" w:hAnsi="Arial"/>
          <w:color w:val="000000"/>
          <w:szCs w:val="22"/>
          <w:lang w:eastAsia="it-IT"/>
        </w:rPr>
        <w:t>essere correttamente adempiente rispetto agli adempimenti</w:t>
      </w:r>
      <w:r>
        <w:rPr>
          <w:rFonts w:eastAsia="Times New Roman" w:cs="Arial" w:ascii="Arial" w:hAnsi="Arial"/>
          <w:color w:val="auto"/>
          <w:szCs w:val="22"/>
          <w:lang w:eastAsia="it-IT"/>
        </w:rPr>
        <w:t xml:space="preserve"> richiesti</w:t>
      </w:r>
      <w:r>
        <w:rPr>
          <w:rFonts w:eastAsia="Times New Roman" w:cs="Arial" w:ascii="Arial" w:hAnsi="Arial"/>
          <w:color w:val="000000"/>
          <w:szCs w:val="22"/>
          <w:lang w:eastAsia="it-IT"/>
        </w:rPr>
        <w:t xml:space="preserve"> dalla BDAP</w:t>
      </w:r>
      <w:r>
        <w:rPr>
          <w:rFonts w:eastAsia="Times New Roman" w:cs="Arial" w:ascii="Arial" w:hAnsi="Arial"/>
          <w:i/>
          <w:color w:val="auto"/>
          <w:szCs w:val="22"/>
          <w:lang w:eastAsia="it-IT"/>
        </w:rPr>
        <w:t>;</w:t>
      </w:r>
    </w:p>
    <w:p>
      <w:pPr>
        <w:pStyle w:val="Normal"/>
        <w:spacing w:lineRule="auto" w:line="240" w:before="0" w:after="0"/>
        <w:rPr>
          <w:rFonts w:ascii="Arial" w:hAnsi="Arial" w:eastAsia="Times New Roman" w:cs="Arial"/>
          <w:i/>
          <w:i/>
          <w:color w:val="00B0F0"/>
          <w:szCs w:val="22"/>
          <w:lang w:eastAsia="it-IT"/>
        </w:rPr>
      </w:pPr>
      <w:r>
        <w:rPr>
          <w:rFonts w:eastAsia="Times New Roman" w:cs="Arial" w:ascii="Arial" w:hAnsi="Arial"/>
          <w:i/>
          <w:color w:val="00B0F0"/>
          <w:szCs w:val="22"/>
          <w:lang w:eastAsia="it-IT"/>
        </w:rPr>
      </w:r>
    </w:p>
    <w:p>
      <w:pPr>
        <w:pStyle w:val="Normal"/>
        <w:widowControl w:val="false"/>
        <w:overflowPunct w:val="true"/>
        <w:spacing w:lineRule="auto" w:line="240" w:before="0" w:after="120"/>
        <w:textAlignment w:val="baseline"/>
        <w:rPr>
          <w:rFonts w:ascii="Arial" w:hAnsi="Arial" w:eastAsia="Times New Roman" w:cs="Arial"/>
          <w:i/>
          <w:i/>
          <w:color w:val="000000"/>
          <w:szCs w:val="22"/>
          <w:lang w:eastAsia="it-IT"/>
        </w:rPr>
      </w:pPr>
      <w:r>
        <w:rPr>
          <w:rFonts w:eastAsia="Times New Roman" w:cs="Arial" w:ascii="Arial" w:hAnsi="Arial"/>
          <w:color w:val="000000"/>
          <w:szCs w:val="22"/>
          <w:lang w:eastAsia="it-IT"/>
        </w:rPr>
        <w:t xml:space="preserve">- l’Ente </w:t>
      </w:r>
      <w:r>
        <w:rPr>
          <w:rFonts w:eastAsia="Times New Roman" w:cs="Arial" w:ascii="Arial" w:hAnsi="Arial"/>
          <w:b/>
          <w:i/>
          <w:color w:val="000000"/>
          <w:szCs w:val="22"/>
          <w:lang w:eastAsia="it-IT"/>
        </w:rPr>
        <w:t>ha</w:t>
      </w:r>
      <w:r>
        <w:rPr>
          <w:rFonts w:eastAsia="Times New Roman" w:cs="Arial" w:ascii="Arial" w:hAnsi="Arial"/>
          <w:color w:val="000000"/>
          <w:szCs w:val="22"/>
          <w:lang w:eastAsia="it-IT"/>
        </w:rPr>
        <w:t xml:space="preserve"> provveduto al caricamento dei dati del rendiconto 2024 in BDAP attraverso la modalità </w:t>
      </w:r>
      <w:r>
        <w:rPr>
          <w:rFonts w:eastAsia="Times New Roman" w:cs="Arial" w:ascii="Arial" w:hAnsi="Arial"/>
          <w:i/>
          <w:color w:val="000000"/>
          <w:szCs w:val="22"/>
          <w:lang w:eastAsia="it-IT"/>
        </w:rPr>
        <w:t xml:space="preserve">“approvato dalla Giunta”; </w:t>
      </w:r>
    </w:p>
    <w:p>
      <w:pPr>
        <w:pStyle w:val="Normal"/>
        <w:widowControl w:val="false"/>
        <w:overflowPunct w:val="true"/>
        <w:spacing w:lineRule="auto" w:line="240" w:before="0" w:after="120"/>
        <w:contextualSpacing/>
        <w:textAlignment w:val="baseline"/>
        <w:rPr>
          <w:rFonts w:ascii="Arial" w:hAnsi="Arial" w:eastAsia="Times New Roman" w:cs="Arial"/>
          <w:color w:val="000000"/>
          <w:szCs w:val="22"/>
          <w:lang w:eastAsia="it-IT"/>
        </w:rPr>
      </w:pPr>
      <w:r>
        <w:rPr>
          <w:rFonts w:eastAsia="Times New Roman" w:cs="Arial" w:ascii="Arial" w:hAnsi="Arial"/>
          <w:bCs/>
          <w:iCs/>
          <w:color w:val="auto"/>
          <w:szCs w:val="22"/>
          <w:lang w:eastAsia="it-IT"/>
        </w:rPr>
        <w:t xml:space="preserve">- l’Ente </w:t>
      </w:r>
      <w:r>
        <w:rPr>
          <w:rFonts w:eastAsia="Times New Roman" w:cs="Arial" w:ascii="Arial" w:hAnsi="Arial"/>
          <w:b/>
          <w:i/>
          <w:color w:val="auto"/>
          <w:szCs w:val="22"/>
          <w:lang w:eastAsia="it-IT"/>
        </w:rPr>
        <w:t>ha</w:t>
      </w:r>
      <w:r>
        <w:rPr>
          <w:rFonts w:eastAsia="Times New Roman" w:cs="Arial" w:ascii="Arial" w:hAnsi="Arial"/>
          <w:color w:val="auto"/>
          <w:szCs w:val="22"/>
          <w:lang w:eastAsia="it-IT"/>
        </w:rPr>
        <w:t xml:space="preserve"> dato attuazione all'obbligo di pubblicazione sul sito dell'amministrazione di tutti i rilievi mossi dalla Corte dei conti in sede di controllo, nonché dei rilievi non recepiti degli organi di controllo interno e degli organi di revisione amministrativa e contabile, ai sensi dell'art. 31, d.lgs. n. 33/2013; </w:t>
      </w:r>
    </w:p>
    <w:p>
      <w:pPr>
        <w:pStyle w:val="Normal"/>
        <w:widowControl w:val="false"/>
        <w:overflowPunct w:val="true"/>
        <w:spacing w:lineRule="auto" w:line="240" w:before="0" w:after="120"/>
        <w:contextualSpacing/>
        <w:textAlignment w:val="baseline"/>
        <w:rPr>
          <w:rFonts w:ascii="Arial" w:hAnsi="Arial" w:eastAsia="Times New Roman" w:cs="Arial"/>
          <w:color w:val="000000"/>
          <w:szCs w:val="22"/>
          <w:lang w:eastAsia="it-IT"/>
        </w:rPr>
      </w:pPr>
      <w:r>
        <w:rPr>
          <w:rFonts w:eastAsia="Times New Roman" w:cs="Arial" w:ascii="Arial" w:hAnsi="Arial"/>
          <w:color w:val="000000"/>
          <w:szCs w:val="22"/>
          <w:lang w:eastAsia="it-IT"/>
        </w:rPr>
      </w:r>
    </w:p>
    <w:p>
      <w:pPr>
        <w:pStyle w:val="Normal"/>
        <w:spacing w:lineRule="auto" w:line="240" w:before="0" w:after="0"/>
        <w:rPr>
          <w:rFonts w:ascii="Arial" w:hAnsi="Arial" w:eastAsia="Times New Roman" w:cs="Arial"/>
          <w:color w:val="000000"/>
          <w:szCs w:val="22"/>
          <w:lang w:eastAsia="it-IT"/>
        </w:rPr>
      </w:pPr>
      <w:r>
        <w:rPr>
          <w:rFonts w:eastAsia="Times New Roman" w:cs="Arial" w:ascii="Arial" w:hAnsi="Arial"/>
          <w:i/>
          <w:color w:val="000000"/>
          <w:szCs w:val="22"/>
          <w:lang w:eastAsia="it-IT"/>
        </w:rPr>
        <w:t>-</w:t>
      </w:r>
      <w:r>
        <w:rPr>
          <w:rFonts w:eastAsia="Times New Roman" w:cs="Arial" w:ascii="Arial" w:hAnsi="Arial"/>
          <w:color w:val="000000"/>
          <w:szCs w:val="22"/>
          <w:lang w:eastAsia="it-IT"/>
        </w:rPr>
        <w:t xml:space="preserve"> l’Ente, nel corso dell’esercizio 2024, in ordine all’eventuale utilizzo dell’avanzo di amministrazione, in sede di applicazione dell’avanzo libero, non si trovasse in una delle situazioni previste dagli artt.195 e 222 del TUEL (utilizzo di entrate a destinazione specifica e anticipazioni di tesoreria), come stabilito dall’art.187 co. 3-</w:t>
      </w:r>
      <w:r>
        <w:rPr>
          <w:rFonts w:eastAsia="Times New Roman" w:cs="Arial" w:ascii="Arial" w:hAnsi="Arial"/>
          <w:i/>
          <w:iCs/>
          <w:color w:val="000000"/>
          <w:szCs w:val="22"/>
          <w:lang w:eastAsia="it-IT"/>
        </w:rPr>
        <w:t xml:space="preserve">bis </w:t>
      </w:r>
      <w:r>
        <w:rPr>
          <w:rFonts w:eastAsia="Times New Roman" w:cs="Arial" w:ascii="Arial" w:hAnsi="Arial"/>
          <w:color w:val="000000"/>
          <w:szCs w:val="22"/>
          <w:lang w:eastAsia="it-IT"/>
        </w:rPr>
        <w:t>del TUEL</w:t>
      </w:r>
      <w:r>
        <w:rPr>
          <w:rFonts w:eastAsia="Times New Roman" w:cs="Arial" w:ascii="Arial" w:hAnsi="Arial"/>
          <w:i/>
          <w:iCs/>
          <w:color w:val="000000"/>
          <w:szCs w:val="22"/>
          <w:lang w:eastAsia="it-IT"/>
        </w:rPr>
        <w:t xml:space="preserve"> </w:t>
      </w:r>
      <w:r>
        <w:rPr>
          <w:rFonts w:eastAsia="Times New Roman" w:cs="Arial" w:ascii="Arial" w:hAnsi="Arial"/>
          <w:color w:val="000000"/>
          <w:szCs w:val="22"/>
          <w:lang w:eastAsia="it-IT"/>
        </w:rPr>
        <w:t>salvo quanto previsto dall’art.18-</w:t>
      </w:r>
      <w:r>
        <w:rPr>
          <w:rFonts w:eastAsia="Times New Roman" w:cs="Arial" w:ascii="Arial" w:hAnsi="Arial"/>
          <w:i/>
          <w:iCs/>
          <w:color w:val="000000"/>
          <w:szCs w:val="22"/>
          <w:lang w:eastAsia="it-IT"/>
        </w:rPr>
        <w:t>bis</w:t>
      </w:r>
      <w:r>
        <w:rPr>
          <w:rFonts w:eastAsia="Times New Roman" w:cs="Arial" w:ascii="Arial" w:hAnsi="Arial"/>
          <w:color w:val="000000"/>
          <w:szCs w:val="22"/>
          <w:lang w:eastAsia="it-IT"/>
        </w:rPr>
        <w:t xml:space="preserve"> del D.l. 113/2024;</w:t>
      </w:r>
    </w:p>
    <w:p>
      <w:pPr>
        <w:pStyle w:val="Normal"/>
        <w:spacing w:lineRule="auto" w:line="240" w:before="0" w:after="0"/>
        <w:rPr>
          <w:rFonts w:ascii="Arial" w:hAnsi="Arial" w:eastAsia="Times New Roman" w:cs="Arial"/>
          <w:color w:val="000000"/>
          <w:szCs w:val="22"/>
          <w:lang w:eastAsia="it-IT"/>
        </w:rPr>
      </w:pPr>
      <w:r>
        <w:rPr>
          <w:rFonts w:eastAsia="Times New Roman" w:cs="Arial" w:ascii="Arial" w:hAnsi="Arial"/>
          <w:color w:val="000000"/>
          <w:szCs w:val="22"/>
          <w:lang w:eastAsia="it-IT"/>
        </w:rPr>
      </w:r>
    </w:p>
    <w:p>
      <w:pPr>
        <w:pStyle w:val="Normal"/>
        <w:widowControl w:val="false"/>
        <w:overflowPunct w:val="true"/>
        <w:spacing w:lineRule="auto" w:line="240" w:before="0" w:after="120"/>
        <w:jc w:val="both"/>
        <w:textAlignment w:val="baseline"/>
        <w:rPr>
          <w:rFonts w:ascii="Arial" w:hAnsi="Arial" w:eastAsia="Times New Roman" w:cs="Arial"/>
          <w:color w:val="000000"/>
          <w:szCs w:val="22"/>
          <w:lang w:eastAsia="it-IT"/>
        </w:rPr>
      </w:pPr>
      <w:r>
        <w:rPr>
          <w:rFonts w:eastAsia="Times New Roman" w:cs="Arial" w:ascii="Arial" w:hAnsi="Arial"/>
          <w:color w:val="000000"/>
          <w:szCs w:val="22"/>
          <w:lang w:eastAsia="it-IT"/>
        </w:rPr>
        <w:t>Ai sensi del  principio contabile 4/1, così come modificato dal DM 10/10/2024, si rileva che l’Ente non ha stipulato contratti di partenariato pubblico privato per la realizzazione dei lavori previsti nel programma</w:t>
      </w:r>
      <w:r>
        <w:rPr>
          <w:rFonts w:eastAsia="Times New Roman" w:cs="Arial" w:ascii="Arial" w:hAnsi="Arial"/>
          <w:color w:val="auto"/>
          <w:sz w:val="22"/>
          <w:szCs w:val="22"/>
          <w:lang w:eastAsia="it-IT"/>
        </w:rPr>
        <w:t xml:space="preserve"> triennale dei lavori pubblici; l’unico contratto di p</w:t>
      </w:r>
      <w:r>
        <w:rPr>
          <w:rFonts w:eastAsia="Times New Roman" w:cs="Arial" w:ascii="Arial" w:hAnsi="Arial"/>
          <w:i/>
          <w:iCs/>
          <w:color w:val="auto"/>
          <w:sz w:val="22"/>
          <w:szCs w:val="22"/>
          <w:lang w:eastAsia="it-IT"/>
        </w:rPr>
        <w:t>roject financing</w:t>
      </w:r>
      <w:r>
        <w:rPr>
          <w:rFonts w:eastAsia="Times New Roman" w:cs="Arial" w:ascii="Arial" w:hAnsi="Arial"/>
          <w:color w:val="auto"/>
          <w:sz w:val="22"/>
          <w:szCs w:val="22"/>
          <w:lang w:eastAsia="it-IT"/>
        </w:rPr>
        <w:t xml:space="preserve"> in essere risulta l</w:t>
      </w:r>
      <w:r>
        <w:rPr>
          <w:rFonts w:ascii="Arial" w:hAnsi="Arial"/>
          <w:color w:val="auto"/>
          <w:sz w:val="22"/>
          <w:szCs w:val="22"/>
        </w:rPr>
        <w:t>’affidamento in concessione, tramite lo strumento di cui sopra</w:t>
      </w:r>
      <w:r>
        <w:rPr>
          <w:rFonts w:ascii="Arial" w:hAnsi="Arial"/>
          <w:i/>
          <w:color w:val="auto"/>
          <w:sz w:val="22"/>
          <w:szCs w:val="22"/>
        </w:rPr>
        <w:t xml:space="preserve"> </w:t>
      </w:r>
      <w:r>
        <w:rPr>
          <w:rFonts w:ascii="Arial" w:hAnsi="Arial"/>
          <w:color w:val="auto"/>
          <w:sz w:val="22"/>
          <w:szCs w:val="22"/>
        </w:rPr>
        <w:t>e per la durata di quindici anni, del servizio di gestione e manutenzione degli impianti di pubblica illuminazione, fornitura di energia elettrica e riqualificazione degli impianti con conversione a led di tutti i centri luminosi del Comune di Trezzano sul Naviglio (determinazione dirigenziale n. 612/2021);</w:t>
      </w:r>
    </w:p>
    <w:p>
      <w:pPr>
        <w:pStyle w:val="Normal"/>
        <w:widowControl w:val="false"/>
        <w:overflowPunct w:val="true"/>
        <w:spacing w:lineRule="auto" w:line="240" w:before="0" w:after="12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 </w:t>
      </w:r>
    </w:p>
    <w:p>
      <w:pPr>
        <w:pStyle w:val="Normal"/>
        <w:widowControl w:val="false"/>
        <w:overflowPunct w:val="true"/>
        <w:spacing w:lineRule="auto" w:line="240" w:before="0" w:after="12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 nel corso dell’esercizio 2024, </w:t>
      </w:r>
      <w:r>
        <w:rPr>
          <w:rFonts w:eastAsia="Times New Roman" w:cs="Arial" w:ascii="Arial" w:hAnsi="Arial"/>
          <w:b/>
          <w:i/>
          <w:color w:val="auto"/>
          <w:szCs w:val="22"/>
          <w:lang w:eastAsia="it-IT"/>
        </w:rPr>
        <w:t>non sono state</w:t>
      </w:r>
      <w:r>
        <w:rPr>
          <w:rFonts w:eastAsia="Times New Roman" w:cs="Arial" w:ascii="Arial" w:hAnsi="Arial"/>
          <w:color w:val="auto"/>
          <w:szCs w:val="22"/>
          <w:lang w:eastAsia="it-IT"/>
        </w:rPr>
        <w:t xml:space="preserve"> effettuate segnalazioni ai sensi dell’art.153 co. 6 del TUEL per il costituirsi di situazioni, non compensabili da maggiori entrate o minori spese, tali da pregiudicare gli equilibri del bilancio;</w:t>
      </w:r>
      <w:r>
        <w:rPr>
          <w:rFonts w:eastAsia="Times New Roman" w:cs="Arial" w:ascii="Arial" w:hAnsi="Arial"/>
          <w:i/>
          <w:color w:val="auto"/>
          <w:szCs w:val="22"/>
          <w:lang w:eastAsia="it-IT"/>
        </w:rPr>
        <w:t xml:space="preserve">  </w:t>
      </w:r>
    </w:p>
    <w:p>
      <w:pPr>
        <w:pStyle w:val="Normal"/>
        <w:widowControl w:val="false"/>
        <w:overflowPunct w:val="true"/>
        <w:spacing w:lineRule="auto" w:line="240" w:before="0" w:after="12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 in attuazione dell’articoli 226 e 233 del Tuel gli agenti contabili, hanno reso i conti della loro gestione, entro il 30.01.2025 allegando i documenti di cui al secondo comma del citato art. 233. </w:t>
      </w:r>
    </w:p>
    <w:p>
      <w:pPr>
        <w:pStyle w:val="Normal"/>
        <w:widowControl w:val="false"/>
        <w:overflowPunct w:val="true"/>
        <w:spacing w:lineRule="auto" w:line="240" w:before="0" w:after="12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contextualSpacing/>
        <w:textAlignment w:val="baseline"/>
        <w:rPr>
          <w:rFonts w:ascii="Arial" w:hAnsi="Arial" w:eastAsia="Times New Roman" w:cs="Arial"/>
          <w:i/>
          <w:i/>
          <w:color w:val="auto"/>
          <w:szCs w:val="22"/>
          <w:lang w:eastAsia="it-IT"/>
        </w:rPr>
      </w:pPr>
      <w:r>
        <w:rPr>
          <w:rFonts w:eastAsia="Times New Roman" w:cs="Arial" w:ascii="Arial" w:hAnsi="Arial"/>
          <w:color w:val="auto"/>
          <w:szCs w:val="22"/>
          <w:lang w:eastAsia="it-IT"/>
        </w:rPr>
        <w:t>I conti resi hanno ottenuto il visto di conformità del conto alle scritture contabili dell’Ente</w:t>
      </w:r>
      <w:r>
        <w:rPr>
          <w:rFonts w:eastAsia="Times New Roman" w:cs="Arial" w:ascii="Arial" w:hAnsi="Arial"/>
          <w:i/>
          <w:color w:val="auto"/>
          <w:szCs w:val="22"/>
          <w:lang w:eastAsia="it-IT"/>
        </w:rPr>
        <w:t>;</w:t>
      </w:r>
    </w:p>
    <w:p>
      <w:pPr>
        <w:pStyle w:val="Normal"/>
        <w:widowControl w:val="false"/>
        <w:overflowPunct w:val="true"/>
        <w:spacing w:lineRule="auto" w:line="240" w:before="0" w:after="120"/>
        <w:contextualSpacing/>
        <w:textAlignment w:val="baseline"/>
        <w:rPr>
          <w:rFonts w:ascii="Arial" w:hAnsi="Arial" w:eastAsia="Times New Roman" w:cs="Arial"/>
          <w:i/>
          <w:i/>
          <w:color w:val="auto"/>
          <w:szCs w:val="22"/>
          <w:lang w:eastAsia="it-IT"/>
        </w:rPr>
      </w:pPr>
      <w:r>
        <w:rPr>
          <w:rFonts w:eastAsia="Times New Roman" w:cs="Arial" w:ascii="Arial" w:hAnsi="Arial"/>
          <w:i/>
          <w:color w:val="auto"/>
          <w:szCs w:val="22"/>
          <w:lang w:eastAsia="it-IT"/>
        </w:rPr>
      </w:r>
    </w:p>
    <w:p>
      <w:pPr>
        <w:pStyle w:val="Normal"/>
        <w:widowControl w:val="false"/>
        <w:overflowPunct w:val="true"/>
        <w:spacing w:lineRule="auto" w:line="240" w:before="0" w:after="120"/>
        <w:contextualSpacing/>
        <w:textAlignment w:val="baseline"/>
        <w:rPr>
          <w:rFonts w:ascii="Arial" w:hAnsi="Arial" w:eastAsia="Times New Roman" w:cs="Arial"/>
          <w:color w:val="auto"/>
          <w:szCs w:val="22"/>
          <w:lang w:eastAsia="it-IT"/>
        </w:rPr>
      </w:pPr>
      <w:r>
        <w:rPr>
          <w:rFonts w:eastAsia="Times New Roman" w:cs="Arial" w:ascii="Arial" w:hAnsi="Arial"/>
          <w:bCs/>
          <w:iCs/>
          <w:color w:val="auto"/>
          <w:szCs w:val="22"/>
          <w:lang w:eastAsia="it-IT"/>
        </w:rPr>
        <w:t>- l’Ente</w:t>
      </w:r>
      <w:r>
        <w:rPr>
          <w:rFonts w:eastAsia="Times New Roman" w:cs="Arial" w:ascii="Arial" w:hAnsi="Arial"/>
          <w:b/>
          <w:i/>
          <w:color w:val="auto"/>
          <w:szCs w:val="22"/>
          <w:lang w:eastAsia="it-IT"/>
        </w:rPr>
        <w:t xml:space="preserve"> ha</w:t>
      </w:r>
      <w:r>
        <w:rPr>
          <w:rFonts w:eastAsia="Times New Roman" w:cs="Arial" w:ascii="Arial" w:hAnsi="Arial"/>
          <w:i/>
          <w:color w:val="auto"/>
          <w:szCs w:val="22"/>
          <w:lang w:eastAsia="it-IT"/>
        </w:rPr>
        <w:t xml:space="preserve"> </w:t>
      </w:r>
      <w:r>
        <w:rPr>
          <w:rFonts w:eastAsia="Times New Roman" w:cs="Arial" w:ascii="Arial" w:hAnsi="Arial"/>
          <w:color w:val="auto"/>
          <w:szCs w:val="22"/>
          <w:lang w:eastAsia="it-IT"/>
        </w:rPr>
        <w:t>nominato il responsabile del procedimento ai sensi dell’art.139 del d.lgs. 174/2016 ai fini della trasmissione, tramite il servizio SIRECO, dei conti degli agenti contabili;</w:t>
      </w:r>
    </w:p>
    <w:p>
      <w:pPr>
        <w:pStyle w:val="Normal"/>
        <w:widowControl w:val="false"/>
        <w:overflowPunct w:val="true"/>
        <w:spacing w:lineRule="auto" w:line="240" w:before="0" w:after="120"/>
        <w:ind w:left="1080" w:hanging="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ind w:left="1080" w:hanging="0"/>
        <w:contextualSpacing/>
        <w:textAlignment w:val="baseline"/>
        <w:rPr>
          <w:rFonts w:ascii="Arial" w:hAnsi="Arial" w:eastAsia="Times New Roman" w:cs="Arial"/>
          <w:b/>
          <w:b/>
          <w:bCs/>
          <w:i/>
          <w:i/>
          <w:iCs/>
          <w:color w:val="auto"/>
          <w:szCs w:val="22"/>
          <w:lang w:eastAsia="it-IT"/>
        </w:rPr>
      </w:pPr>
      <w:r>
        <w:rPr>
          <w:rFonts w:eastAsia="Times New Roman" w:cs="Arial" w:ascii="Arial" w:hAnsi="Arial"/>
          <w:b/>
          <w:bCs/>
          <w:i/>
          <w:iCs/>
          <w:color w:val="auto"/>
          <w:szCs w:val="22"/>
          <w:lang w:eastAsia="it-IT"/>
        </w:rPr>
      </w:r>
    </w:p>
    <w:p>
      <w:pPr>
        <w:pStyle w:val="Normal"/>
        <w:widowControl w:val="false"/>
        <w:suppressAutoHyphens w:val="true"/>
        <w:overflowPunct w:val="true"/>
        <w:spacing w:lineRule="auto" w:line="240" w:before="0" w:after="120"/>
        <w:textAlignment w:val="baseline"/>
        <w:rPr>
          <w:rFonts w:ascii="Arial" w:hAnsi="Arial" w:eastAsia="Times New Roman" w:cs="Arial"/>
          <w:color w:val="auto"/>
          <w:lang w:eastAsia="it-IT"/>
        </w:rPr>
      </w:pPr>
      <w:r>
        <w:rPr>
          <w:rFonts w:eastAsia="Times New Roman" w:cs="Arial" w:ascii="Arial" w:hAnsi="Arial"/>
          <w:b/>
          <w:bCs/>
          <w:i/>
          <w:iCs/>
          <w:color w:val="auto"/>
          <w:szCs w:val="22"/>
          <w:lang w:eastAsia="it-IT"/>
        </w:rPr>
        <w:t>-</w:t>
      </w:r>
      <w:r>
        <w:rPr>
          <w:rFonts w:eastAsia="Times New Roman" w:cs="Arial" w:ascii="Arial" w:hAnsi="Arial"/>
          <w:b/>
          <w:bCs/>
          <w:i/>
          <w:iCs/>
          <w:lang w:eastAsia="it-IT"/>
        </w:rPr>
        <w:t xml:space="preserve"> </w:t>
      </w:r>
      <w:r>
        <w:rPr>
          <w:rFonts w:eastAsia="Times New Roman" w:cs="Arial" w:ascii="Arial" w:hAnsi="Arial"/>
          <w:bCs/>
          <w:iCs/>
          <w:color w:val="auto"/>
          <w:szCs w:val="22"/>
          <w:lang w:eastAsia="it-IT"/>
        </w:rPr>
        <w:t>l’Ente</w:t>
      </w:r>
      <w:r>
        <w:rPr>
          <w:rFonts w:eastAsia="Times New Roman" w:cs="Arial" w:ascii="Arial" w:hAnsi="Arial"/>
          <w:b/>
          <w:bCs/>
          <w:i/>
          <w:iCs/>
          <w:color w:val="auto"/>
          <w:lang w:eastAsia="it-IT"/>
        </w:rPr>
        <w:t xml:space="preserve"> ha </w:t>
      </w:r>
      <w:r>
        <w:rPr>
          <w:rFonts w:eastAsia="Times New Roman" w:cs="Arial" w:ascii="Arial" w:hAnsi="Arial"/>
          <w:color w:val="auto"/>
          <w:lang w:eastAsia="it-IT"/>
        </w:rPr>
        <w:t>reso il rendiconto dei contributi straordinari nei termini perentori e con le modalità di cui all'art. 158 Tuel;</w:t>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contextualSpacing/>
        <w:textAlignment w:val="baseline"/>
        <w:rPr>
          <w:rFonts w:ascii="Arial" w:hAnsi="Arial"/>
          <w:sz w:val="22"/>
          <w:szCs w:val="22"/>
        </w:rPr>
      </w:pPr>
      <w:r>
        <w:rPr>
          <w:rFonts w:eastAsia="Times New Roman" w:cs="Arial" w:ascii="Arial" w:hAnsi="Arial"/>
          <w:iCs/>
          <w:color w:val="auto"/>
          <w:sz w:val="22"/>
          <w:szCs w:val="22"/>
          <w:lang w:eastAsia="it-IT"/>
        </w:rPr>
        <w:t xml:space="preserve">- Risultano accantonati, nell’ambito dell’avanzo di amministrazione 2024, € 51.094,68 relativi a </w:t>
      </w:r>
      <w:r>
        <w:rPr>
          <w:rFonts w:eastAsia="Times New Roman" w:cs="Arial" w:ascii="Arial" w:hAnsi="Arial"/>
          <w:b w:val="false"/>
          <w:i w:val="false"/>
          <w:iCs/>
          <w:caps w:val="false"/>
          <w:smallCaps w:val="false"/>
          <w:color w:val="000000"/>
          <w:spacing w:val="0"/>
          <w:sz w:val="22"/>
          <w:szCs w:val="22"/>
          <w:lang w:eastAsia="it-IT"/>
        </w:rPr>
        <w:t>contributi ricevuti in eccesso rispetto alle spese per il trasporto disabili degli anni 2021 e 2022 (Rendiconti 2022-2023)</w:t>
      </w:r>
      <w:r>
        <w:rPr>
          <w:rFonts w:eastAsia="Times New Roman" w:cs="Arial" w:ascii="Arial" w:hAnsi="Arial"/>
          <w:b w:val="false"/>
          <w:i w:val="false"/>
          <w:iCs/>
          <w:caps w:val="false"/>
          <w:smallCaps w:val="false"/>
          <w:color w:val="auto"/>
          <w:spacing w:val="0"/>
          <w:sz w:val="22"/>
          <w:szCs w:val="22"/>
          <w:lang w:eastAsia="it-IT"/>
        </w:rPr>
        <w:t>, sulla base del cronoprogramma obiettivi di servizio 2022-2023 certificato.</w:t>
      </w:r>
    </w:p>
    <w:p>
      <w:pPr>
        <w:pStyle w:val="Normal"/>
        <w:widowControl w:val="false"/>
        <w:overflowPunct w:val="true"/>
        <w:spacing w:lineRule="auto" w:line="240" w:before="0" w:after="120"/>
        <w:contextualSpacing/>
        <w:textAlignment w:val="baseline"/>
        <w:rPr>
          <w:rFonts w:ascii="Arial" w:hAnsi="Arial"/>
          <w:sz w:val="22"/>
          <w:szCs w:val="22"/>
        </w:rPr>
      </w:pPr>
      <w:r>
        <w:rPr>
          <w:rFonts w:ascii="Arial" w:hAnsi="Arial"/>
          <w:sz w:val="22"/>
          <w:szCs w:val="22"/>
        </w:rPr>
      </w:r>
    </w:p>
    <w:p>
      <w:pPr>
        <w:pStyle w:val="Normal"/>
        <w:widowControl w:val="false"/>
        <w:overflowPunct w:val="true"/>
        <w:spacing w:lineRule="auto" w:line="240" w:before="0" w:after="120"/>
        <w:contextualSpacing/>
        <w:textAlignment w:val="baseline"/>
        <w:rPr>
          <w:rFonts w:ascii="Arial" w:hAnsi="Arial"/>
          <w:sz w:val="22"/>
          <w:szCs w:val="22"/>
        </w:rPr>
      </w:pPr>
      <w:r>
        <w:rPr>
          <w:rFonts w:eastAsia="Times New Roman" w:cs="Arial" w:ascii="Arial" w:hAnsi="Arial"/>
          <w:iCs/>
          <w:color w:val="auto"/>
          <w:sz w:val="22"/>
          <w:szCs w:val="22"/>
          <w:lang w:eastAsia="it-IT"/>
        </w:rPr>
        <w:t xml:space="preserve">Il Collegio dei Revisori raccomanda la puntuale trasmissione delle seguenti rendicontazioni  entro i termini e secondo le modalità previste dalle note metodologiche di SOGEI: </w:t>
      </w:r>
    </w:p>
    <w:p>
      <w:pPr>
        <w:pStyle w:val="Ydp120d5380yiv8935915260msonormal"/>
        <w:numPr>
          <w:ilvl w:val="0"/>
          <w:numId w:val="11"/>
        </w:numPr>
        <w:spacing w:beforeAutospacing="0" w:before="0" w:afterAutospacing="0" w:after="0"/>
        <w:jc w:val="both"/>
        <w:rPr>
          <w:rFonts w:ascii="Arial" w:hAnsi="Arial"/>
          <w:sz w:val="22"/>
          <w:szCs w:val="22"/>
        </w:rPr>
      </w:pPr>
      <w:r>
        <w:rPr>
          <w:rFonts w:eastAsia="Times New Roman" w:cs="Arial" w:ascii="Arial" w:hAnsi="Arial"/>
          <w:iCs/>
          <w:sz w:val="22"/>
          <w:szCs w:val="22"/>
        </w:rPr>
        <w:t>scheda di monitoraggio e rendicontazione delle risorse aggiuntive assegnate per il 2024 e finalizzate al potenziamento dei servizi sociali comunali;</w:t>
      </w:r>
    </w:p>
    <w:p>
      <w:pPr>
        <w:pStyle w:val="Ydp120d5380yiv8935915260msonormal"/>
        <w:numPr>
          <w:ilvl w:val="0"/>
          <w:numId w:val="11"/>
        </w:numPr>
        <w:spacing w:beforeAutospacing="0" w:before="0" w:afterAutospacing="0" w:after="0"/>
        <w:jc w:val="both"/>
        <w:rPr>
          <w:rFonts w:ascii="Arial" w:hAnsi="Arial"/>
          <w:sz w:val="22"/>
          <w:szCs w:val="22"/>
        </w:rPr>
      </w:pPr>
      <w:r>
        <w:rPr>
          <w:rFonts w:eastAsia="Times New Roman" w:cs="Arial" w:ascii="Arial" w:hAnsi="Arial"/>
          <w:iCs/>
          <w:sz w:val="22"/>
          <w:szCs w:val="22"/>
        </w:rPr>
        <w:t>scheda di monitoraggio per la rendicontazione degli obiettivi di servizio per asili nido;</w:t>
      </w:r>
    </w:p>
    <w:p>
      <w:pPr>
        <w:pStyle w:val="Ydp120d5380yiv8935915260msonormal"/>
        <w:numPr>
          <w:ilvl w:val="0"/>
          <w:numId w:val="11"/>
        </w:numPr>
        <w:spacing w:beforeAutospacing="0" w:before="0" w:afterAutospacing="0" w:after="0"/>
        <w:jc w:val="both"/>
        <w:rPr>
          <w:rFonts w:ascii="Arial" w:hAnsi="Arial"/>
          <w:sz w:val="22"/>
          <w:szCs w:val="22"/>
        </w:rPr>
      </w:pPr>
      <w:r>
        <w:rPr>
          <w:rFonts w:eastAsia="Times New Roman" w:cs="Arial" w:ascii="Arial" w:hAnsi="Arial"/>
          <w:iCs/>
          <w:sz w:val="22"/>
          <w:szCs w:val="22"/>
        </w:rPr>
        <w:t>scheda di monitoraggio per la rendicontazione degli obiettivi di servizio relativi al trasporto studenti con disabilità;</w:t>
      </w:r>
    </w:p>
    <w:p>
      <w:pPr>
        <w:pStyle w:val="Ydp120d5380yiv8935915260msonormal"/>
        <w:numPr>
          <w:ilvl w:val="0"/>
          <w:numId w:val="11"/>
        </w:numPr>
        <w:spacing w:beforeAutospacing="0" w:before="0" w:afterAutospacing="0" w:after="0"/>
        <w:jc w:val="both"/>
        <w:rPr>
          <w:rFonts w:ascii="Arial" w:hAnsi="Arial"/>
          <w:sz w:val="22"/>
          <w:szCs w:val="22"/>
        </w:rPr>
      </w:pPr>
      <w:r>
        <w:rPr>
          <w:rFonts w:eastAsia="Times New Roman" w:cs="Arial" w:ascii="Arial" w:hAnsi="Arial"/>
          <w:iCs/>
          <w:sz w:val="22"/>
          <w:szCs w:val="22"/>
        </w:rPr>
        <w:t>scheda di monitoraggio e rendicontazione relative ai servizi di assistenza all’autonomia e alla comunicazione degli studenti con disabilità.</w:t>
      </w:r>
    </w:p>
    <w:p>
      <w:pPr>
        <w:pStyle w:val="Ydp120d5380yiv8935915260msonormal"/>
        <w:spacing w:beforeAutospacing="0" w:before="0" w:afterAutospacing="0" w:after="0"/>
        <w:rPr>
          <w:rFonts w:ascii="Arial" w:hAnsi="Arial" w:eastAsia="Times New Roman" w:cs="Arial"/>
          <w:iCs/>
          <w:sz w:val="22"/>
          <w:szCs w:val="22"/>
        </w:rPr>
      </w:pPr>
      <w:r>
        <w:rPr>
          <w:rFonts w:eastAsia="Times New Roman" w:cs="Arial" w:ascii="Arial" w:hAnsi="Arial"/>
          <w:iCs/>
          <w:sz w:val="22"/>
          <w:szCs w:val="22"/>
        </w:rPr>
      </w:r>
    </w:p>
    <w:p>
      <w:pPr>
        <w:pStyle w:val="Normal"/>
        <w:widowControl w:val="false"/>
        <w:tabs>
          <w:tab w:val="clear" w:pos="708"/>
          <w:tab w:val="left" w:pos="1843" w:leader="none"/>
        </w:tabs>
        <w:overflowPunct w:val="true"/>
        <w:spacing w:lineRule="auto" w:line="240" w:before="0" w:after="120"/>
        <w:contextualSpacing/>
        <w:textAlignment w:val="baseline"/>
        <w:rPr>
          <w:rFonts w:ascii="Arial" w:hAnsi="Arial" w:eastAsia="Times New Roman" w:cs="Arial"/>
          <w:color w:val="auto"/>
          <w:szCs w:val="22"/>
          <w:lang w:eastAsia="it-IT"/>
        </w:rPr>
      </w:pPr>
      <w:bookmarkStart w:id="4" w:name="_Toc379377455"/>
      <w:bookmarkEnd w:id="4"/>
      <w:r>
        <w:rPr>
          <w:rFonts w:eastAsia="Times New Roman" w:cs="Arial" w:ascii="Arial" w:hAnsi="Arial"/>
          <w:color w:val="auto"/>
          <w:szCs w:val="22"/>
          <w:lang w:eastAsia="it-IT"/>
        </w:rPr>
        <w:t xml:space="preserve">- dai dati risultanti dalla tabella dei parametri di deficitarietà strutturale (Decreto Interministeriale del 4.8.2023 pubblicato sulla GU n.224 del 25.9.2023) allegata al rendiconto emerge che l’Ente </w:t>
      </w:r>
      <w:r>
        <w:rPr>
          <w:rFonts w:eastAsia="Times New Roman" w:cs="Arial" w:ascii="Arial" w:hAnsi="Arial"/>
          <w:b/>
          <w:bCs/>
          <w:color w:val="auto"/>
          <w:szCs w:val="22"/>
          <w:lang w:eastAsia="it-IT"/>
        </w:rPr>
        <w:t>non è</w:t>
      </w:r>
      <w:r>
        <w:rPr>
          <w:rFonts w:eastAsia="Times New Roman" w:cs="Arial" w:ascii="Arial" w:hAnsi="Arial"/>
          <w:color w:val="auto"/>
          <w:szCs w:val="22"/>
          <w:lang w:eastAsia="it-IT"/>
        </w:rPr>
        <w:t xml:space="preserve"> da considerarsi strutturalmente deficitario;</w:t>
      </w:r>
    </w:p>
    <w:p>
      <w:pPr>
        <w:pStyle w:val="Normal"/>
        <w:widowControl w:val="false"/>
        <w:tabs>
          <w:tab w:val="clear" w:pos="708"/>
          <w:tab w:val="left" w:pos="1843" w:leader="none"/>
        </w:tabs>
        <w:overflowPunct w:val="true"/>
        <w:spacing w:lineRule="auto" w:line="240" w:before="0" w:after="12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tabs>
          <w:tab w:val="clear" w:pos="708"/>
          <w:tab w:val="left" w:pos="1843" w:leader="none"/>
        </w:tabs>
        <w:overflowPunct w:val="true"/>
        <w:spacing w:lineRule="auto" w:line="240" w:before="0" w:after="12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tabs>
          <w:tab w:val="clear" w:pos="708"/>
          <w:tab w:val="left" w:pos="1843" w:leader="none"/>
        </w:tabs>
        <w:overflowPunct w:val="true"/>
        <w:spacing w:lineRule="auto" w:line="240" w:before="0" w:after="12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tabs>
          <w:tab w:val="clear" w:pos="708"/>
          <w:tab w:val="left" w:pos="1843" w:leader="none"/>
        </w:tabs>
        <w:overflowPunct w:val="true"/>
        <w:spacing w:lineRule="auto" w:line="240" w:before="0" w:after="12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tabs>
          <w:tab w:val="clear" w:pos="708"/>
          <w:tab w:val="left" w:pos="1843" w:leader="none"/>
        </w:tabs>
        <w:overflowPunct w:val="true"/>
        <w:spacing w:lineRule="auto" w:line="240" w:before="0" w:after="12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tabs>
          <w:tab w:val="clear" w:pos="708"/>
          <w:tab w:val="left" w:pos="1843" w:leader="none"/>
        </w:tabs>
        <w:overflowPunct w:val="true"/>
        <w:spacing w:lineRule="auto" w:line="240" w:before="0" w:after="12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ind w:left="780" w:hanging="0"/>
        <w:contextualSpacing/>
        <w:textAlignment w:val="baseline"/>
        <w:rPr>
          <w:rFonts w:ascii="Arial" w:hAnsi="Arial" w:eastAsia="Times New Roman" w:cs="Arial"/>
          <w:i/>
          <w:i/>
          <w:color w:val="auto"/>
          <w:szCs w:val="22"/>
          <w:lang w:eastAsia="it-IT"/>
        </w:rPr>
      </w:pPr>
      <w:r>
        <w:rPr>
          <w:rFonts w:eastAsia="Times New Roman" w:cs="Arial" w:ascii="Arial" w:hAnsi="Arial"/>
          <w:i/>
          <w:color w:val="auto"/>
          <w:szCs w:val="22"/>
          <w:lang w:eastAsia="it-IT"/>
        </w:rPr>
        <w:drawing>
          <wp:anchor behindDoc="0" distT="0" distB="0" distL="0" distR="0" simplePos="0" locked="0" layoutInCell="0" allowOverlap="1" relativeHeight="4">
            <wp:simplePos x="0" y="0"/>
            <wp:positionH relativeFrom="column">
              <wp:posOffset>132715</wp:posOffset>
            </wp:positionH>
            <wp:positionV relativeFrom="paragraph">
              <wp:posOffset>119380</wp:posOffset>
            </wp:positionV>
            <wp:extent cx="5264150" cy="3937635"/>
            <wp:effectExtent l="0" t="0" r="0" b="0"/>
            <wp:wrapSquare wrapText="largest"/>
            <wp:docPr id="3"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1" descr=""/>
                    <pic:cNvPicPr>
                      <a:picLocks noChangeAspect="1" noChangeArrowheads="1"/>
                    </pic:cNvPicPr>
                  </pic:nvPicPr>
                  <pic:blipFill>
                    <a:blip r:embed="rId5"/>
                    <a:stretch>
                      <a:fillRect/>
                    </a:stretch>
                  </pic:blipFill>
                  <pic:spPr bwMode="auto">
                    <a:xfrm>
                      <a:off x="0" y="0"/>
                      <a:ext cx="5264150" cy="3937635"/>
                    </a:xfrm>
                    <a:prstGeom prst="rect">
                      <a:avLst/>
                    </a:prstGeom>
                  </pic:spPr>
                </pic:pic>
              </a:graphicData>
            </a:graphic>
          </wp:anchor>
        </w:drawing>
      </w:r>
    </w:p>
    <w:p>
      <w:pPr>
        <w:pStyle w:val="Normal"/>
        <w:widowControl w:val="false"/>
        <w:overflowPunct w:val="true"/>
        <w:spacing w:lineRule="auto" w:line="240" w:before="0" w:after="120"/>
        <w:ind w:left="780" w:hanging="0"/>
        <w:contextualSpacing/>
        <w:textAlignment w:val="baseline"/>
        <w:rPr>
          <w:rFonts w:ascii="Arial" w:hAnsi="Arial" w:eastAsia="Times New Roman" w:cs="Arial"/>
          <w:i/>
          <w:i/>
          <w:color w:val="auto"/>
          <w:szCs w:val="22"/>
          <w:lang w:eastAsia="it-IT"/>
        </w:rPr>
      </w:pPr>
      <w:r>
        <w:rPr>
          <w:rFonts w:eastAsia="Times New Roman" w:cs="Arial" w:ascii="Arial" w:hAnsi="Arial"/>
          <w:i/>
          <w:color w:val="auto"/>
          <w:szCs w:val="22"/>
          <w:lang w:eastAsia="it-IT"/>
        </w:rPr>
      </w:r>
    </w:p>
    <w:p>
      <w:pPr>
        <w:pStyle w:val="Normal"/>
        <w:widowControl w:val="false"/>
        <w:overflowPunct w:val="true"/>
        <w:spacing w:lineRule="auto" w:line="240" w:before="0" w:after="120"/>
        <w:ind w:left="780" w:hanging="0"/>
        <w:contextualSpacing/>
        <w:textAlignment w:val="baseline"/>
        <w:rPr>
          <w:rFonts w:ascii="Arial" w:hAnsi="Arial" w:eastAsia="Times New Roman" w:cs="Arial"/>
          <w:i/>
          <w:i/>
          <w:color w:val="auto"/>
          <w:szCs w:val="22"/>
          <w:lang w:eastAsia="it-IT"/>
        </w:rPr>
      </w:pPr>
      <w:r>
        <w:rPr>
          <w:rFonts w:eastAsia="Times New Roman" w:cs="Arial" w:ascii="Arial" w:hAnsi="Arial"/>
          <w:i/>
          <w:color w:val="auto"/>
          <w:szCs w:val="22"/>
          <w:lang w:eastAsia="it-IT"/>
        </w:rPr>
      </w:r>
    </w:p>
    <w:p>
      <w:pPr>
        <w:pStyle w:val="Normal"/>
        <w:widowControl w:val="false"/>
        <w:overflowPunct w:val="true"/>
        <w:spacing w:lineRule="auto" w:line="240" w:before="0" w:after="120"/>
        <w:ind w:left="780" w:hanging="0"/>
        <w:contextualSpacing/>
        <w:textAlignment w:val="baseline"/>
        <w:rPr>
          <w:rFonts w:ascii="Arial" w:hAnsi="Arial" w:eastAsia="Times New Roman" w:cs="Arial"/>
          <w:i/>
          <w:i/>
          <w:color w:val="auto"/>
          <w:szCs w:val="22"/>
          <w:lang w:eastAsia="it-IT"/>
        </w:rPr>
      </w:pPr>
      <w:r>
        <w:rPr>
          <w:rFonts w:eastAsia="Times New Roman" w:cs="Arial" w:ascii="Arial" w:hAnsi="Arial"/>
          <w:i/>
          <w:color w:val="auto"/>
          <w:szCs w:val="22"/>
          <w:lang w:eastAsia="it-IT"/>
        </w:rPr>
      </w:r>
    </w:p>
    <w:p>
      <w:pPr>
        <w:pStyle w:val="Titolo1"/>
        <w:numPr>
          <w:ilvl w:val="0"/>
          <w:numId w:val="63"/>
        </w:numPr>
        <w:ind w:left="284" w:hanging="284"/>
        <w:rPr/>
      </w:pPr>
      <w:bookmarkStart w:id="5" w:name="_Toc130056240"/>
      <w:bookmarkStart w:id="6" w:name="_Toc127770139"/>
      <w:bookmarkStart w:id="7" w:name="_Toc98417441"/>
      <w:bookmarkEnd w:id="5"/>
      <w:bookmarkEnd w:id="6"/>
      <w:bookmarkEnd w:id="7"/>
      <w:r>
        <w:rPr/>
        <w:t>C</w:t>
      </w:r>
      <w:bookmarkStart w:id="8" w:name="_Toc192666969"/>
      <w:r>
        <w:rPr/>
        <w:t>onto del bilancio</w:t>
      </w:r>
      <w:bookmarkEnd w:id="8"/>
    </w:p>
    <w:p>
      <w:pPr>
        <w:pStyle w:val="Titolo2"/>
        <w:numPr>
          <w:ilvl w:val="1"/>
          <w:numId w:val="64"/>
        </w:numPr>
        <w:ind w:left="851" w:hanging="491"/>
        <w:rPr/>
      </w:pPr>
      <w:bookmarkStart w:id="9" w:name="_Toc130060183"/>
      <w:bookmarkStart w:id="10" w:name="_Toc130056245"/>
      <w:bookmarkStart w:id="11" w:name="_Toc127770142"/>
      <w:bookmarkStart w:id="12" w:name="_Toc98417444"/>
      <w:bookmarkStart w:id="13" w:name="_Toc192666970"/>
      <w:r>
        <w:rPr/>
        <w:t>Il risultato di amministrazione</w:t>
      </w:r>
      <w:bookmarkEnd w:id="9"/>
      <w:bookmarkEnd w:id="10"/>
      <w:bookmarkEnd w:id="11"/>
      <w:bookmarkEnd w:id="12"/>
      <w:bookmarkEnd w:id="13"/>
    </w:p>
    <w:p>
      <w:pPr>
        <w:pStyle w:val="Normal"/>
        <w:widowControl w:val="false"/>
        <w:overflowPunct w:val="true"/>
        <w:spacing w:lineRule="auto" w:line="240" w:before="120" w:after="120"/>
        <w:textAlignment w:val="baseline"/>
        <w:rPr>
          <w:rFonts w:ascii="Arial" w:hAnsi="Arial" w:eastAsia="Times New Roman" w:cs="Arial"/>
          <w:b/>
          <w:b/>
          <w:lang w:eastAsia="it-IT"/>
        </w:rPr>
      </w:pPr>
      <w:r>
        <w:rPr>
          <w:rFonts w:eastAsia="Times New Roman" w:cs="Arial" w:ascii="Arial" w:hAnsi="Arial"/>
          <w:color w:val="auto"/>
          <w:szCs w:val="22"/>
          <w:lang w:eastAsia="it-IT"/>
        </w:rPr>
        <w:t>L’Organo di revision</w:t>
      </w:r>
      <w:r>
        <w:rPr>
          <w:rFonts w:eastAsia="Times New Roman" w:cs="Arial" w:ascii="Arial" w:hAnsi="Arial"/>
          <w:color w:val="auto"/>
          <w:sz w:val="22"/>
          <w:szCs w:val="22"/>
          <w:lang w:eastAsia="it-IT"/>
        </w:rPr>
        <w:t xml:space="preserve">e ha verificato e attesta che il risultato di amministrazione dell’esercizio 2024, presenta un </w:t>
      </w:r>
      <w:r>
        <w:rPr>
          <w:rFonts w:eastAsia="Times New Roman" w:cs="Arial" w:ascii="Arial" w:hAnsi="Arial"/>
          <w:b/>
          <w:bCs/>
          <w:i/>
          <w:iCs/>
          <w:color w:val="auto"/>
          <w:sz w:val="22"/>
          <w:szCs w:val="22"/>
          <w:lang w:eastAsia="it-IT"/>
        </w:rPr>
        <w:t>avanzo</w:t>
      </w:r>
      <w:r>
        <w:rPr>
          <w:rFonts w:eastAsia="Times New Roman" w:cs="Arial" w:ascii="Arial" w:hAnsi="Arial"/>
          <w:color w:val="auto"/>
          <w:sz w:val="22"/>
          <w:szCs w:val="22"/>
          <w:lang w:eastAsia="it-IT"/>
        </w:rPr>
        <w:t xml:space="preserve"> di euro </w:t>
      </w:r>
      <w:r>
        <w:rPr>
          <w:rFonts w:eastAsia="Times New Roman" w:cs="Arial" w:ascii="Arial" w:hAnsi="Arial"/>
          <w:b/>
          <w:color w:val="auto"/>
          <w:sz w:val="22"/>
          <w:szCs w:val="22"/>
          <w:lang w:eastAsia="it-IT"/>
        </w:rPr>
        <w:t>25.299.480,02, come di seguito evidenziato:</w:t>
      </w:r>
    </w:p>
    <w:p>
      <w:pPr>
        <w:pStyle w:val="Normal"/>
        <w:widowControl w:val="false"/>
        <w:overflowPunct w:val="true"/>
        <w:spacing w:lineRule="auto" w:line="240" w:before="0" w:after="120"/>
        <w:textAlignment w:val="baseline"/>
        <w:rPr>
          <w:rFonts w:ascii="Arial" w:hAnsi="Arial" w:eastAsia="Times New Roman" w:cs="Arial"/>
          <w:bCs/>
          <w:color w:val="auto"/>
          <w:lang w:eastAsia="it-IT"/>
        </w:rPr>
      </w:pPr>
      <w:r>
        <w:rPr>
          <w:rFonts w:eastAsia="Times New Roman" w:cs="Arial" w:ascii="Arial" w:hAnsi="Arial"/>
          <w:bCs/>
          <w:color w:val="auto"/>
          <w:lang w:eastAsia="it-IT"/>
        </w:rPr>
      </w:r>
    </w:p>
    <w:p>
      <w:pPr>
        <w:pStyle w:val="Normal"/>
        <w:widowControl w:val="false"/>
        <w:overflowPunct w:val="true"/>
        <w:spacing w:lineRule="auto" w:line="240" w:before="0" w:after="120"/>
        <w:textAlignment w:val="baseline"/>
        <w:rPr>
          <w:rFonts w:ascii="Arial" w:hAnsi="Arial" w:eastAsia="Times New Roman" w:cs="Arial"/>
          <w:bCs/>
          <w:color w:val="auto"/>
          <w:lang w:eastAsia="it-IT"/>
        </w:rPr>
      </w:pPr>
      <w:r>
        <w:rPr>
          <w:rFonts w:eastAsia="Times New Roman" w:cs="Arial" w:ascii="Arial" w:hAnsi="Arial"/>
          <w:bCs/>
          <w:color w:val="auto"/>
          <w:lang w:eastAsia="it-IT"/>
        </w:rPr>
        <w:drawing>
          <wp:anchor behindDoc="0" distT="0" distB="0" distL="0" distR="0" simplePos="0" locked="0" layoutInCell="0" allowOverlap="1" relativeHeight="5">
            <wp:simplePos x="0" y="0"/>
            <wp:positionH relativeFrom="column">
              <wp:align>center</wp:align>
            </wp:positionH>
            <wp:positionV relativeFrom="paragraph">
              <wp:posOffset>635</wp:posOffset>
            </wp:positionV>
            <wp:extent cx="6372860" cy="4604385"/>
            <wp:effectExtent l="0" t="0" r="0" b="0"/>
            <wp:wrapSquare wrapText="largest"/>
            <wp:docPr id="4" name="Immagin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2" descr=""/>
                    <pic:cNvPicPr>
                      <a:picLocks noChangeAspect="1" noChangeArrowheads="1"/>
                    </pic:cNvPicPr>
                  </pic:nvPicPr>
                  <pic:blipFill>
                    <a:blip r:embed="rId6"/>
                    <a:stretch>
                      <a:fillRect/>
                    </a:stretch>
                  </pic:blipFill>
                  <pic:spPr bwMode="auto">
                    <a:xfrm>
                      <a:off x="0" y="0"/>
                      <a:ext cx="6372860" cy="4604385"/>
                    </a:xfrm>
                    <a:prstGeom prst="rect">
                      <a:avLst/>
                    </a:prstGeom>
                  </pic:spPr>
                </pic:pic>
              </a:graphicData>
            </a:graphic>
          </wp:anchor>
        </w:drawing>
      </w:r>
    </w:p>
    <w:p>
      <w:pPr>
        <w:pStyle w:val="Normal"/>
        <w:widowControl w:val="false"/>
        <w:overflowPunct w:val="true"/>
        <w:spacing w:lineRule="auto" w:line="240" w:before="0" w:after="120"/>
        <w:textAlignment w:val="baseline"/>
        <w:rPr>
          <w:rFonts w:ascii="Arial" w:hAnsi="Arial" w:eastAsia="Times New Roman" w:cs="Arial"/>
          <w:bCs/>
          <w:color w:val="auto"/>
          <w:lang w:eastAsia="it-IT"/>
        </w:rPr>
      </w:pPr>
      <w:r>
        <w:rPr>
          <w:rFonts w:eastAsia="Times New Roman" w:cs="Arial" w:ascii="Arial" w:hAnsi="Arial"/>
          <w:bCs/>
          <w:color w:val="auto"/>
          <w:lang w:eastAsia="it-IT"/>
        </w:rPr>
        <w:t>L’Organo di revisione ha verificato che:</w:t>
      </w:r>
    </w:p>
    <w:p>
      <w:pPr>
        <w:pStyle w:val="Normal"/>
        <w:widowControl w:val="false"/>
        <w:overflowPunct w:val="true"/>
        <w:spacing w:lineRule="auto" w:line="240" w:before="0" w:after="120"/>
        <w:textAlignment w:val="baseline"/>
        <w:rPr>
          <w:rFonts w:ascii="Arial" w:hAnsi="Arial" w:eastAsia="Times New Roman" w:cs="Arial"/>
          <w:bCs/>
          <w:lang w:eastAsia="it-IT"/>
        </w:rPr>
      </w:pPr>
      <w:r>
        <w:rPr>
          <w:rFonts w:eastAsia="Times New Roman" w:cs="Arial" w:ascii="Arial" w:hAnsi="Arial"/>
          <w:bCs/>
          <w:color w:val="auto"/>
          <w:lang w:eastAsia="it-IT"/>
        </w:rPr>
        <w:t xml:space="preserve">- l’Ente </w:t>
      </w:r>
      <w:r>
        <w:rPr>
          <w:rFonts w:eastAsia="Times New Roman" w:cs="Arial" w:ascii="Arial" w:hAnsi="Arial"/>
          <w:b/>
          <w:i/>
          <w:iCs/>
          <w:color w:val="auto"/>
          <w:lang w:eastAsia="it-IT"/>
        </w:rPr>
        <w:t xml:space="preserve">ha </w:t>
      </w:r>
      <w:r>
        <w:rPr>
          <w:rFonts w:eastAsia="Times New Roman" w:cs="Arial" w:ascii="Arial" w:hAnsi="Arial"/>
          <w:bCs/>
          <w:color w:val="auto"/>
          <w:lang w:eastAsia="it-IT"/>
        </w:rPr>
        <w:t xml:space="preserve"> nel prospetto del risultato di amministrazione i residui attivi incassati alla data del 31/12/2024 in conti postali e bancari, pari ad Euro 895.537,37.</w:t>
      </w:r>
    </w:p>
    <w:p>
      <w:pPr>
        <w:pStyle w:val="Normal"/>
        <w:widowControl w:val="false"/>
        <w:overflowPunct w:val="true"/>
        <w:spacing w:lineRule="auto" w:line="240" w:before="0" w:after="120"/>
        <w:textAlignment w:val="baseline"/>
        <w:rPr>
          <w:rFonts w:ascii="Arial" w:hAnsi="Arial" w:eastAsia="Times New Roman" w:cs="Arial"/>
          <w:bCs/>
          <w:lang w:eastAsia="it-IT"/>
        </w:rPr>
      </w:pPr>
      <w:r>
        <w:rPr>
          <w:rFonts w:eastAsia="Times New Roman" w:cs="Arial" w:ascii="Arial" w:hAnsi="Arial"/>
          <w:bCs/>
          <w:lang w:eastAsia="it-IT"/>
        </w:rPr>
      </w:r>
    </w:p>
    <w:p>
      <w:pPr>
        <w:pStyle w:val="Normal"/>
        <w:widowControl w:val="false"/>
        <w:overflowPunct w:val="true"/>
        <w:spacing w:lineRule="auto" w:line="240" w:before="0" w:after="120"/>
        <w:textAlignment w:val="baseline"/>
        <w:rPr>
          <w:rFonts w:ascii="Arial" w:hAnsi="Arial" w:eastAsia="Times New Roman" w:cs="Arial"/>
          <w:bCs/>
          <w:lang w:eastAsia="it-IT"/>
        </w:rPr>
      </w:pPr>
      <w:r>
        <w:rPr>
          <w:rFonts w:eastAsia="Times New Roman" w:cs="Arial" w:ascii="Arial" w:hAnsi="Arial"/>
          <w:bCs/>
          <w:color w:val="auto"/>
          <w:lang w:eastAsia="it-IT"/>
        </w:rPr>
        <w:t>La composizione del risultato di amministrazione è la seguente:</w:t>
      </w:r>
    </w:p>
    <w:p>
      <w:pPr>
        <w:pStyle w:val="Normal"/>
        <w:widowControl w:val="false"/>
        <w:overflowPunct w:val="true"/>
        <w:spacing w:lineRule="auto" w:line="240" w:before="0" w:after="120"/>
        <w:textAlignment w:val="baseline"/>
        <w:rPr>
          <w:rFonts w:ascii="Arial" w:hAnsi="Arial" w:eastAsia="Times New Roman" w:cs="Arial"/>
          <w:bCs/>
          <w:lang w:eastAsia="it-IT"/>
        </w:rPr>
      </w:pPr>
      <w:r>
        <w:rPr>
          <w:rFonts w:eastAsia="Times New Roman" w:cs="Arial" w:ascii="Arial" w:hAnsi="Arial"/>
          <w:bCs/>
          <w:lang w:eastAsia="it-IT"/>
        </w:rPr>
      </w:r>
    </w:p>
    <w:p>
      <w:pPr>
        <w:pStyle w:val="Normal"/>
        <w:widowControl w:val="false"/>
        <w:overflowPunct w:val="true"/>
        <w:spacing w:lineRule="auto" w:line="240" w:before="0" w:after="120"/>
        <w:textAlignment w:val="baseline"/>
        <w:rPr>
          <w:rFonts w:ascii="Arial" w:hAnsi="Arial" w:eastAsia="Times New Roman" w:cs="Arial"/>
          <w:bCs/>
          <w:lang w:eastAsia="it-IT"/>
        </w:rPr>
      </w:pPr>
      <w:r>
        <w:rPr>
          <w:rFonts w:eastAsia="Times New Roman" w:cs="Arial" w:ascii="Arial" w:hAnsi="Arial"/>
          <w:bCs/>
          <w:lang w:eastAsia="it-IT"/>
        </w:rPr>
      </w:r>
    </w:p>
    <w:p>
      <w:pPr>
        <w:pStyle w:val="Normal"/>
        <w:widowControl w:val="false"/>
        <w:overflowPunct w:val="true"/>
        <w:spacing w:lineRule="auto" w:line="240" w:before="0" w:after="120"/>
        <w:textAlignment w:val="baseline"/>
        <w:rPr>
          <w:rFonts w:ascii="Arial" w:hAnsi="Arial" w:eastAsia="Times New Roman" w:cs="Arial"/>
          <w:bCs/>
          <w:lang w:eastAsia="it-IT"/>
        </w:rPr>
      </w:pPr>
      <w:r>
        <w:rPr>
          <w:rFonts w:eastAsia="Times New Roman" w:cs="Arial" w:ascii="Arial" w:hAnsi="Arial"/>
          <w:bCs/>
          <w:lang w:eastAsia="it-IT"/>
        </w:rPr>
        <w:drawing>
          <wp:anchor behindDoc="0" distT="0" distB="0" distL="0" distR="0" simplePos="0" locked="0" layoutInCell="0" allowOverlap="1" relativeHeight="6">
            <wp:simplePos x="0" y="0"/>
            <wp:positionH relativeFrom="column">
              <wp:align>center</wp:align>
            </wp:positionH>
            <wp:positionV relativeFrom="paragraph">
              <wp:posOffset>635</wp:posOffset>
            </wp:positionV>
            <wp:extent cx="6681470" cy="4179570"/>
            <wp:effectExtent l="0" t="0" r="0" b="0"/>
            <wp:wrapSquare wrapText="largest"/>
            <wp:docPr id="5" name="Immagin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3" descr=""/>
                    <pic:cNvPicPr>
                      <a:picLocks noChangeAspect="1" noChangeArrowheads="1"/>
                    </pic:cNvPicPr>
                  </pic:nvPicPr>
                  <pic:blipFill>
                    <a:blip r:embed="rId7"/>
                    <a:stretch>
                      <a:fillRect/>
                    </a:stretch>
                  </pic:blipFill>
                  <pic:spPr bwMode="auto">
                    <a:xfrm>
                      <a:off x="0" y="0"/>
                      <a:ext cx="6681470" cy="4179570"/>
                    </a:xfrm>
                    <a:prstGeom prst="rect">
                      <a:avLst/>
                    </a:prstGeom>
                  </pic:spPr>
                </pic:pic>
              </a:graphicData>
            </a:graphic>
          </wp:anchor>
        </w:drawing>
      </w:r>
    </w:p>
    <w:p>
      <w:pPr>
        <w:pStyle w:val="Normal"/>
        <w:widowControl w:val="false"/>
        <w:overflowPunct w:val="true"/>
        <w:spacing w:lineRule="auto" w:line="240" w:before="0" w:after="120"/>
        <w:textAlignment w:val="baseline"/>
        <w:rPr>
          <w:rFonts w:ascii="Arial" w:hAnsi="Arial" w:eastAsia="Times New Roman" w:cs="Arial"/>
          <w:bCs/>
          <w:lang w:eastAsia="it-IT"/>
        </w:rPr>
      </w:pPr>
      <w:r>
        <w:rPr>
          <w:rFonts w:eastAsia="Times New Roman" w:cs="Arial" w:ascii="Arial" w:hAnsi="Arial"/>
          <w:bCs/>
          <w:lang w:eastAsia="it-IT"/>
        </w:rPr>
      </w:r>
    </w:p>
    <w:p>
      <w:pPr>
        <w:pStyle w:val="Normal"/>
        <w:widowControl w:val="false"/>
        <w:suppressAutoHyphens w:val="true"/>
        <w:overflowPunct w:val="true"/>
        <w:spacing w:lineRule="auto" w:line="240" w:before="0" w:after="120"/>
        <w:jc w:val="left"/>
        <w:textAlignment w:val="top"/>
        <w:rPr>
          <w:rFonts w:ascii="Arial" w:hAnsi="Arial" w:eastAsia="Times New Roman" w:cs="Arial"/>
          <w:color w:val="auto"/>
          <w:szCs w:val="22"/>
          <w:lang w:eastAsia="it-IT"/>
        </w:rPr>
      </w:pPr>
      <w:r>
        <w:rPr>
          <w:rFonts w:eastAsia="Times New Roman" w:cs="Arial" w:ascii="Arial" w:hAnsi="Arial"/>
          <w:color w:val="auto"/>
          <w:szCs w:val="22"/>
          <w:lang w:eastAsia="it-IT"/>
        </w:rPr>
        <w:t>L’Organo di revisione ha verificato che il risultato di amministrazione nell’ultimo triennio ha avuto la seguente evoluzione:</w:t>
      </w:r>
    </w:p>
    <w:p>
      <w:pPr>
        <w:pStyle w:val="Normal"/>
        <w:widowControl w:val="false"/>
        <w:overflowPunct w:val="true"/>
        <w:spacing w:lineRule="auto" w:line="240" w:before="0" w:after="120"/>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tbl>
      <w:tblPr>
        <w:tblW w:w="10056" w:type="dxa"/>
        <w:jc w:val="left"/>
        <w:tblInd w:w="-358" w:type="dxa"/>
        <w:tblLayout w:type="fixed"/>
        <w:tblCellMar>
          <w:top w:w="0" w:type="dxa"/>
          <w:left w:w="28" w:type="dxa"/>
          <w:bottom w:w="0" w:type="dxa"/>
          <w:right w:w="28" w:type="dxa"/>
        </w:tblCellMar>
      </w:tblPr>
      <w:tblGrid>
        <w:gridCol w:w="3371"/>
        <w:gridCol w:w="2041"/>
        <w:gridCol w:w="2208"/>
        <w:gridCol w:w="2435"/>
      </w:tblGrid>
      <w:tr>
        <w:trPr>
          <w:trHeight w:val="340" w:hRule="atLeast"/>
        </w:trPr>
        <w:tc>
          <w:tcPr>
            <w:tcW w:w="3371" w:type="dxa"/>
            <w:tcBorders>
              <w:top w:val="single" w:sz="2" w:space="0" w:color="000000"/>
              <w:left w:val="single" w:sz="2" w:space="0" w:color="000000"/>
              <w:bottom w:val="single" w:sz="2" w:space="0" w:color="000000"/>
            </w:tcBorders>
            <w:vAlign w:val="bottom"/>
          </w:tcPr>
          <w:p>
            <w:pPr>
              <w:pStyle w:val="Normal"/>
              <w:widowControl w:val="false"/>
              <w:tabs>
                <w:tab w:val="clear" w:pos="708"/>
              </w:tabs>
              <w:spacing w:before="0" w:after="200"/>
              <w:jc w:val="left"/>
              <w:rPr>
                <w:b/>
                <w:b/>
              </w:rPr>
            </w:pPr>
            <w:r>
              <w:rPr>
                <w:b/>
              </w:rPr>
            </w:r>
          </w:p>
        </w:tc>
        <w:tc>
          <w:tcPr>
            <w:tcW w:w="2041" w:type="dxa"/>
            <w:tcBorders>
              <w:top w:val="single" w:sz="2" w:space="0" w:color="000000"/>
              <w:left w:val="single" w:sz="2" w:space="0" w:color="000000"/>
              <w:bottom w:val="single" w:sz="2" w:space="0" w:color="000000"/>
            </w:tcBorders>
            <w:vAlign w:val="bottom"/>
          </w:tcPr>
          <w:p>
            <w:pPr>
              <w:pStyle w:val="Normal"/>
              <w:widowControl w:val="false"/>
              <w:tabs>
                <w:tab w:val="clear" w:pos="708"/>
              </w:tabs>
              <w:spacing w:before="0" w:after="200"/>
              <w:jc w:val="center"/>
              <w:rPr/>
            </w:pPr>
            <w:r>
              <w:rPr>
                <w:b/>
              </w:rPr>
              <w:t>2022</w:t>
            </w:r>
          </w:p>
        </w:tc>
        <w:tc>
          <w:tcPr>
            <w:tcW w:w="2208" w:type="dxa"/>
            <w:tcBorders>
              <w:top w:val="single" w:sz="2" w:space="0" w:color="000000"/>
              <w:left w:val="single" w:sz="2" w:space="0" w:color="000000"/>
              <w:bottom w:val="single" w:sz="2" w:space="0" w:color="000000"/>
            </w:tcBorders>
            <w:vAlign w:val="bottom"/>
          </w:tcPr>
          <w:p>
            <w:pPr>
              <w:pStyle w:val="Normal"/>
              <w:widowControl w:val="false"/>
              <w:tabs>
                <w:tab w:val="clear" w:pos="708"/>
              </w:tabs>
              <w:spacing w:before="0" w:after="200"/>
              <w:jc w:val="center"/>
              <w:rPr/>
            </w:pPr>
            <w:r>
              <w:rPr>
                <w:b/>
              </w:rPr>
              <w:t>2023</w:t>
            </w:r>
          </w:p>
        </w:tc>
        <w:tc>
          <w:tcPr>
            <w:tcW w:w="2435" w:type="dxa"/>
            <w:tcBorders>
              <w:top w:val="single" w:sz="2" w:space="0" w:color="000000"/>
              <w:left w:val="single" w:sz="2" w:space="0" w:color="000000"/>
              <w:bottom w:val="single" w:sz="2" w:space="0" w:color="000000"/>
              <w:right w:val="single" w:sz="2" w:space="0" w:color="000000"/>
            </w:tcBorders>
            <w:vAlign w:val="bottom"/>
          </w:tcPr>
          <w:p>
            <w:pPr>
              <w:pStyle w:val="Normal"/>
              <w:widowControl w:val="false"/>
              <w:tabs>
                <w:tab w:val="clear" w:pos="708"/>
              </w:tabs>
              <w:spacing w:before="0" w:after="200"/>
              <w:jc w:val="center"/>
              <w:rPr/>
            </w:pPr>
            <w:r>
              <w:rPr>
                <w:b/>
              </w:rPr>
              <w:t>2024</w:t>
            </w:r>
          </w:p>
        </w:tc>
      </w:tr>
      <w:tr>
        <w:trPr>
          <w:trHeight w:val="316" w:hRule="atLeast"/>
        </w:trPr>
        <w:tc>
          <w:tcPr>
            <w:tcW w:w="3371" w:type="dxa"/>
            <w:tcBorders>
              <w:left w:val="single" w:sz="2" w:space="0" w:color="000000"/>
              <w:bottom w:val="single" w:sz="2" w:space="0" w:color="000000"/>
            </w:tcBorders>
            <w:vAlign w:val="bottom"/>
          </w:tcPr>
          <w:p>
            <w:pPr>
              <w:pStyle w:val="Normal"/>
              <w:widowControl w:val="false"/>
              <w:tabs>
                <w:tab w:val="clear" w:pos="708"/>
              </w:tabs>
              <w:spacing w:before="0" w:after="200"/>
              <w:jc w:val="left"/>
              <w:rPr/>
            </w:pPr>
            <w:r>
              <w:rPr/>
              <w:t>Risultato d'amministrazione (A)</w:t>
            </w:r>
          </w:p>
        </w:tc>
        <w:tc>
          <w:tcPr>
            <w:tcW w:w="2041" w:type="dxa"/>
            <w:tcBorders>
              <w:left w:val="single" w:sz="2" w:space="0" w:color="000000"/>
              <w:bottom w:val="single" w:sz="2" w:space="0" w:color="000000"/>
            </w:tcBorders>
            <w:vAlign w:val="bottom"/>
          </w:tcPr>
          <w:p>
            <w:pPr>
              <w:pStyle w:val="Normal"/>
              <w:widowControl w:val="false"/>
              <w:tabs>
                <w:tab w:val="clear" w:pos="708"/>
              </w:tabs>
              <w:spacing w:before="0" w:after="200"/>
              <w:jc w:val="right"/>
              <w:rPr/>
            </w:pPr>
            <w:r>
              <w:rPr/>
              <w:t xml:space="preserve"> € </w:t>
            </w:r>
            <w:r>
              <w:rPr/>
              <w:t>18.078.906,60</w:t>
            </w:r>
          </w:p>
        </w:tc>
        <w:tc>
          <w:tcPr>
            <w:tcW w:w="2208" w:type="dxa"/>
            <w:tcBorders>
              <w:left w:val="single" w:sz="2" w:space="0" w:color="000000"/>
              <w:bottom w:val="single" w:sz="2" w:space="0" w:color="000000"/>
            </w:tcBorders>
            <w:vAlign w:val="bottom"/>
          </w:tcPr>
          <w:p>
            <w:pPr>
              <w:pStyle w:val="Normal"/>
              <w:widowControl w:val="false"/>
              <w:tabs>
                <w:tab w:val="clear" w:pos="708"/>
              </w:tabs>
              <w:spacing w:before="0" w:after="200"/>
              <w:jc w:val="right"/>
              <w:rPr/>
            </w:pPr>
            <w:r>
              <w:rPr/>
              <w:t xml:space="preserve"> € </w:t>
            </w:r>
            <w:r>
              <w:rPr/>
              <w:t>22.423.019,04</w:t>
            </w:r>
          </w:p>
        </w:tc>
        <w:tc>
          <w:tcPr>
            <w:tcW w:w="2435" w:type="dxa"/>
            <w:tcBorders>
              <w:left w:val="single" w:sz="2" w:space="0" w:color="000000"/>
              <w:bottom w:val="single" w:sz="2" w:space="0" w:color="000000"/>
              <w:right w:val="single" w:sz="2" w:space="0" w:color="000000"/>
            </w:tcBorders>
            <w:vAlign w:val="bottom"/>
          </w:tcPr>
          <w:p>
            <w:pPr>
              <w:pStyle w:val="Normal"/>
              <w:widowControl w:val="false"/>
              <w:tabs>
                <w:tab w:val="clear" w:pos="708"/>
              </w:tabs>
              <w:spacing w:before="0" w:after="200"/>
              <w:jc w:val="right"/>
              <w:rPr/>
            </w:pPr>
            <w:r>
              <w:rPr/>
              <w:t xml:space="preserve"> € </w:t>
            </w:r>
            <w:r>
              <w:rPr/>
              <w:t>25.299.480,02</w:t>
            </w:r>
          </w:p>
        </w:tc>
      </w:tr>
      <w:tr>
        <w:trPr>
          <w:trHeight w:val="316" w:hRule="atLeast"/>
        </w:trPr>
        <w:tc>
          <w:tcPr>
            <w:tcW w:w="3371" w:type="dxa"/>
            <w:tcBorders>
              <w:left w:val="single" w:sz="2" w:space="0" w:color="000000"/>
              <w:bottom w:val="single" w:sz="2" w:space="0" w:color="000000"/>
            </w:tcBorders>
            <w:vAlign w:val="bottom"/>
          </w:tcPr>
          <w:p>
            <w:pPr>
              <w:pStyle w:val="Normal"/>
              <w:widowControl w:val="false"/>
              <w:tabs>
                <w:tab w:val="clear" w:pos="708"/>
              </w:tabs>
              <w:spacing w:before="0" w:after="200"/>
              <w:jc w:val="left"/>
              <w:rPr/>
            </w:pPr>
            <w:r>
              <w:rPr>
                <w:i/>
              </w:rPr>
              <w:t>composizione del risultato di amministrazione:</w:t>
            </w:r>
          </w:p>
        </w:tc>
        <w:tc>
          <w:tcPr>
            <w:tcW w:w="2041" w:type="dxa"/>
            <w:tcBorders>
              <w:left w:val="single" w:sz="2" w:space="0" w:color="000000"/>
              <w:bottom w:val="single" w:sz="2" w:space="0" w:color="000000"/>
            </w:tcBorders>
            <w:vAlign w:val="bottom"/>
          </w:tcPr>
          <w:p>
            <w:pPr>
              <w:pStyle w:val="Normal"/>
              <w:widowControl w:val="false"/>
              <w:tabs>
                <w:tab w:val="clear" w:pos="708"/>
              </w:tabs>
              <w:spacing w:before="0" w:after="200"/>
              <w:jc w:val="left"/>
              <w:rPr/>
            </w:pPr>
            <w:r>
              <w:rPr/>
            </w:r>
          </w:p>
        </w:tc>
        <w:tc>
          <w:tcPr>
            <w:tcW w:w="2208" w:type="dxa"/>
            <w:tcBorders>
              <w:left w:val="single" w:sz="2" w:space="0" w:color="000000"/>
              <w:bottom w:val="single" w:sz="2" w:space="0" w:color="000000"/>
            </w:tcBorders>
            <w:vAlign w:val="bottom"/>
          </w:tcPr>
          <w:p>
            <w:pPr>
              <w:pStyle w:val="Normal"/>
              <w:widowControl w:val="false"/>
              <w:tabs>
                <w:tab w:val="clear" w:pos="708"/>
              </w:tabs>
              <w:spacing w:before="0" w:after="200"/>
              <w:jc w:val="left"/>
              <w:rPr/>
            </w:pPr>
            <w:r>
              <w:rPr/>
            </w:r>
          </w:p>
        </w:tc>
        <w:tc>
          <w:tcPr>
            <w:tcW w:w="2435" w:type="dxa"/>
            <w:tcBorders>
              <w:left w:val="single" w:sz="2" w:space="0" w:color="000000"/>
              <w:bottom w:val="single" w:sz="2" w:space="0" w:color="000000"/>
              <w:right w:val="single" w:sz="2" w:space="0" w:color="000000"/>
            </w:tcBorders>
            <w:vAlign w:val="bottom"/>
          </w:tcPr>
          <w:p>
            <w:pPr>
              <w:pStyle w:val="Normal"/>
              <w:widowControl w:val="false"/>
              <w:tabs>
                <w:tab w:val="clear" w:pos="708"/>
              </w:tabs>
              <w:spacing w:before="0" w:after="200"/>
              <w:jc w:val="left"/>
              <w:rPr/>
            </w:pPr>
            <w:r>
              <w:rPr/>
            </w:r>
          </w:p>
        </w:tc>
      </w:tr>
      <w:tr>
        <w:trPr>
          <w:trHeight w:val="316" w:hRule="atLeast"/>
        </w:trPr>
        <w:tc>
          <w:tcPr>
            <w:tcW w:w="3371" w:type="dxa"/>
            <w:tcBorders>
              <w:left w:val="single" w:sz="2" w:space="0" w:color="000000"/>
              <w:bottom w:val="single" w:sz="2" w:space="0" w:color="000000"/>
            </w:tcBorders>
            <w:vAlign w:val="bottom"/>
          </w:tcPr>
          <w:p>
            <w:pPr>
              <w:pStyle w:val="Normal"/>
              <w:widowControl w:val="false"/>
              <w:tabs>
                <w:tab w:val="clear" w:pos="708"/>
              </w:tabs>
              <w:spacing w:before="0" w:after="200"/>
              <w:jc w:val="left"/>
              <w:rPr/>
            </w:pPr>
            <w:r>
              <w:rPr/>
              <w:t>Parte accantonata (B)</w:t>
            </w:r>
          </w:p>
        </w:tc>
        <w:tc>
          <w:tcPr>
            <w:tcW w:w="2041" w:type="dxa"/>
            <w:tcBorders>
              <w:left w:val="single" w:sz="2" w:space="0" w:color="000000"/>
              <w:bottom w:val="single" w:sz="2" w:space="0" w:color="000000"/>
            </w:tcBorders>
            <w:vAlign w:val="bottom"/>
          </w:tcPr>
          <w:p>
            <w:pPr>
              <w:pStyle w:val="Normal"/>
              <w:widowControl w:val="false"/>
              <w:tabs>
                <w:tab w:val="clear" w:pos="708"/>
              </w:tabs>
              <w:spacing w:before="0" w:after="200"/>
              <w:jc w:val="right"/>
              <w:rPr/>
            </w:pPr>
            <w:r>
              <w:rPr/>
              <w:t xml:space="preserve"> € </w:t>
            </w:r>
            <w:r>
              <w:rPr/>
              <w:t>13.526.459,17</w:t>
            </w:r>
          </w:p>
        </w:tc>
        <w:tc>
          <w:tcPr>
            <w:tcW w:w="2208" w:type="dxa"/>
            <w:tcBorders>
              <w:left w:val="single" w:sz="2" w:space="0" w:color="000000"/>
              <w:bottom w:val="single" w:sz="2" w:space="0" w:color="000000"/>
            </w:tcBorders>
            <w:vAlign w:val="bottom"/>
          </w:tcPr>
          <w:p>
            <w:pPr>
              <w:pStyle w:val="Normal"/>
              <w:widowControl w:val="false"/>
              <w:tabs>
                <w:tab w:val="clear" w:pos="708"/>
              </w:tabs>
              <w:spacing w:before="0" w:after="200"/>
              <w:jc w:val="right"/>
              <w:rPr/>
            </w:pPr>
            <w:r>
              <w:rPr/>
              <w:t xml:space="preserve"> € </w:t>
            </w:r>
            <w:r>
              <w:rPr/>
              <w:t>17.416.868,83</w:t>
            </w:r>
          </w:p>
        </w:tc>
        <w:tc>
          <w:tcPr>
            <w:tcW w:w="2435" w:type="dxa"/>
            <w:tcBorders>
              <w:left w:val="single" w:sz="2" w:space="0" w:color="000000"/>
              <w:bottom w:val="single" w:sz="2" w:space="0" w:color="000000"/>
              <w:right w:val="single" w:sz="2" w:space="0" w:color="000000"/>
            </w:tcBorders>
            <w:vAlign w:val="bottom"/>
          </w:tcPr>
          <w:p>
            <w:pPr>
              <w:pStyle w:val="Normal"/>
              <w:widowControl w:val="false"/>
              <w:tabs>
                <w:tab w:val="clear" w:pos="708"/>
              </w:tabs>
              <w:spacing w:before="0" w:after="200"/>
              <w:jc w:val="right"/>
              <w:rPr/>
            </w:pPr>
            <w:r>
              <w:rPr/>
              <w:t xml:space="preserve"> € </w:t>
            </w:r>
            <w:r>
              <w:rPr/>
              <w:t>20.336.501,56</w:t>
            </w:r>
          </w:p>
        </w:tc>
      </w:tr>
      <w:tr>
        <w:trPr>
          <w:trHeight w:val="316" w:hRule="atLeast"/>
        </w:trPr>
        <w:tc>
          <w:tcPr>
            <w:tcW w:w="3371" w:type="dxa"/>
            <w:tcBorders>
              <w:left w:val="single" w:sz="2" w:space="0" w:color="000000"/>
              <w:bottom w:val="single" w:sz="2" w:space="0" w:color="000000"/>
            </w:tcBorders>
            <w:vAlign w:val="bottom"/>
          </w:tcPr>
          <w:p>
            <w:pPr>
              <w:pStyle w:val="Normal"/>
              <w:widowControl w:val="false"/>
              <w:tabs>
                <w:tab w:val="clear" w:pos="708"/>
              </w:tabs>
              <w:spacing w:before="0" w:after="200"/>
              <w:jc w:val="left"/>
              <w:rPr/>
            </w:pPr>
            <w:r>
              <w:rPr/>
              <w:t>Parte vincolata (C )</w:t>
            </w:r>
          </w:p>
        </w:tc>
        <w:tc>
          <w:tcPr>
            <w:tcW w:w="2041" w:type="dxa"/>
            <w:tcBorders>
              <w:left w:val="single" w:sz="2" w:space="0" w:color="000000"/>
              <w:bottom w:val="single" w:sz="2" w:space="0" w:color="000000"/>
            </w:tcBorders>
            <w:vAlign w:val="bottom"/>
          </w:tcPr>
          <w:p>
            <w:pPr>
              <w:pStyle w:val="Normal"/>
              <w:widowControl w:val="false"/>
              <w:tabs>
                <w:tab w:val="clear" w:pos="708"/>
              </w:tabs>
              <w:spacing w:before="0" w:after="200"/>
              <w:jc w:val="right"/>
              <w:rPr/>
            </w:pPr>
            <w:r>
              <w:rPr/>
              <w:t xml:space="preserve"> € </w:t>
            </w:r>
            <w:r>
              <w:rPr/>
              <w:t>1.320.743,62</w:t>
            </w:r>
          </w:p>
        </w:tc>
        <w:tc>
          <w:tcPr>
            <w:tcW w:w="2208" w:type="dxa"/>
            <w:tcBorders>
              <w:left w:val="single" w:sz="2" w:space="0" w:color="000000"/>
              <w:bottom w:val="single" w:sz="2" w:space="0" w:color="000000"/>
            </w:tcBorders>
            <w:vAlign w:val="bottom"/>
          </w:tcPr>
          <w:p>
            <w:pPr>
              <w:pStyle w:val="Normal"/>
              <w:widowControl w:val="false"/>
              <w:tabs>
                <w:tab w:val="clear" w:pos="708"/>
              </w:tabs>
              <w:spacing w:before="0" w:after="200"/>
              <w:jc w:val="right"/>
              <w:rPr/>
            </w:pPr>
            <w:r>
              <w:rPr/>
              <w:t xml:space="preserve"> € </w:t>
            </w:r>
            <w:r>
              <w:rPr/>
              <w:t>1.487.434,40</w:t>
            </w:r>
          </w:p>
        </w:tc>
        <w:tc>
          <w:tcPr>
            <w:tcW w:w="2435" w:type="dxa"/>
            <w:tcBorders>
              <w:left w:val="single" w:sz="2" w:space="0" w:color="000000"/>
              <w:bottom w:val="single" w:sz="2" w:space="0" w:color="000000"/>
              <w:right w:val="single" w:sz="2" w:space="0" w:color="000000"/>
            </w:tcBorders>
            <w:vAlign w:val="bottom"/>
          </w:tcPr>
          <w:p>
            <w:pPr>
              <w:pStyle w:val="Normal"/>
              <w:widowControl w:val="false"/>
              <w:tabs>
                <w:tab w:val="clear" w:pos="708"/>
              </w:tabs>
              <w:spacing w:before="0" w:after="200"/>
              <w:jc w:val="right"/>
              <w:rPr/>
            </w:pPr>
            <w:r>
              <w:rPr/>
              <w:t xml:space="preserve"> € </w:t>
            </w:r>
            <w:r>
              <w:rPr/>
              <w:t>2.105.538,08</w:t>
            </w:r>
          </w:p>
        </w:tc>
      </w:tr>
      <w:tr>
        <w:trPr>
          <w:trHeight w:val="316" w:hRule="atLeast"/>
        </w:trPr>
        <w:tc>
          <w:tcPr>
            <w:tcW w:w="3371" w:type="dxa"/>
            <w:tcBorders>
              <w:left w:val="single" w:sz="2" w:space="0" w:color="000000"/>
              <w:bottom w:val="single" w:sz="2" w:space="0" w:color="000000"/>
            </w:tcBorders>
            <w:vAlign w:val="bottom"/>
          </w:tcPr>
          <w:p>
            <w:pPr>
              <w:pStyle w:val="Normal"/>
              <w:widowControl w:val="false"/>
              <w:tabs>
                <w:tab w:val="clear" w:pos="708"/>
              </w:tabs>
              <w:spacing w:before="0" w:after="200"/>
              <w:jc w:val="left"/>
              <w:rPr/>
            </w:pPr>
            <w:r>
              <w:rPr/>
              <w:t>Parte destinata agli investimenti (D)</w:t>
            </w:r>
          </w:p>
        </w:tc>
        <w:tc>
          <w:tcPr>
            <w:tcW w:w="2041" w:type="dxa"/>
            <w:tcBorders>
              <w:left w:val="single" w:sz="2" w:space="0" w:color="000000"/>
              <w:bottom w:val="single" w:sz="2" w:space="0" w:color="000000"/>
            </w:tcBorders>
            <w:vAlign w:val="bottom"/>
          </w:tcPr>
          <w:p>
            <w:pPr>
              <w:pStyle w:val="Normal"/>
              <w:widowControl w:val="false"/>
              <w:tabs>
                <w:tab w:val="clear" w:pos="708"/>
              </w:tabs>
              <w:spacing w:before="0" w:after="200"/>
              <w:jc w:val="right"/>
              <w:rPr/>
            </w:pPr>
            <w:r>
              <w:rPr/>
              <w:t xml:space="preserve"> € </w:t>
            </w:r>
            <w:r>
              <w:rPr/>
              <w:t>143.876,24</w:t>
            </w:r>
          </w:p>
        </w:tc>
        <w:tc>
          <w:tcPr>
            <w:tcW w:w="2208" w:type="dxa"/>
            <w:tcBorders>
              <w:left w:val="single" w:sz="2" w:space="0" w:color="000000"/>
              <w:bottom w:val="single" w:sz="2" w:space="0" w:color="000000"/>
            </w:tcBorders>
            <w:vAlign w:val="bottom"/>
          </w:tcPr>
          <w:p>
            <w:pPr>
              <w:pStyle w:val="Normal"/>
              <w:widowControl w:val="false"/>
              <w:tabs>
                <w:tab w:val="clear" w:pos="708"/>
              </w:tabs>
              <w:spacing w:before="0" w:after="200"/>
              <w:jc w:val="right"/>
              <w:rPr/>
            </w:pPr>
            <w:r>
              <w:rPr/>
              <w:t xml:space="preserve"> € </w:t>
            </w:r>
            <w:r>
              <w:rPr/>
              <w:t>59.686,57</w:t>
            </w:r>
          </w:p>
        </w:tc>
        <w:tc>
          <w:tcPr>
            <w:tcW w:w="2435" w:type="dxa"/>
            <w:tcBorders>
              <w:left w:val="single" w:sz="2" w:space="0" w:color="000000"/>
              <w:bottom w:val="single" w:sz="2" w:space="0" w:color="000000"/>
              <w:right w:val="single" w:sz="2" w:space="0" w:color="000000"/>
            </w:tcBorders>
            <w:vAlign w:val="bottom"/>
          </w:tcPr>
          <w:p>
            <w:pPr>
              <w:pStyle w:val="Normal"/>
              <w:widowControl w:val="false"/>
              <w:tabs>
                <w:tab w:val="clear" w:pos="708"/>
              </w:tabs>
              <w:spacing w:before="0" w:after="200"/>
              <w:jc w:val="right"/>
              <w:rPr/>
            </w:pPr>
            <w:r>
              <w:rPr/>
              <w:t xml:space="preserve"> € </w:t>
            </w:r>
            <w:r>
              <w:rPr/>
              <w:t>26.211,11</w:t>
            </w:r>
          </w:p>
        </w:tc>
      </w:tr>
      <w:tr>
        <w:trPr>
          <w:trHeight w:val="316" w:hRule="atLeast"/>
        </w:trPr>
        <w:tc>
          <w:tcPr>
            <w:tcW w:w="3371" w:type="dxa"/>
            <w:tcBorders>
              <w:left w:val="single" w:sz="2" w:space="0" w:color="000000"/>
              <w:bottom w:val="single" w:sz="2" w:space="0" w:color="000000"/>
            </w:tcBorders>
            <w:vAlign w:val="bottom"/>
          </w:tcPr>
          <w:p>
            <w:pPr>
              <w:pStyle w:val="Normal"/>
              <w:widowControl w:val="false"/>
              <w:tabs>
                <w:tab w:val="clear" w:pos="708"/>
              </w:tabs>
              <w:spacing w:before="0" w:after="200"/>
              <w:jc w:val="left"/>
              <w:rPr/>
            </w:pPr>
            <w:r>
              <w:rPr/>
              <w:t>Parte disponibile (E= A-B-C-D)</w:t>
            </w:r>
          </w:p>
        </w:tc>
        <w:tc>
          <w:tcPr>
            <w:tcW w:w="2041" w:type="dxa"/>
            <w:tcBorders>
              <w:left w:val="single" w:sz="2" w:space="0" w:color="000000"/>
              <w:bottom w:val="single" w:sz="2" w:space="0" w:color="000000"/>
            </w:tcBorders>
            <w:vAlign w:val="bottom"/>
          </w:tcPr>
          <w:p>
            <w:pPr>
              <w:pStyle w:val="Normal"/>
              <w:widowControl w:val="false"/>
              <w:tabs>
                <w:tab w:val="clear" w:pos="708"/>
              </w:tabs>
              <w:spacing w:before="0" w:after="200"/>
              <w:jc w:val="right"/>
              <w:rPr/>
            </w:pPr>
            <w:r>
              <w:rPr/>
              <w:t xml:space="preserve"> € </w:t>
            </w:r>
            <w:r>
              <w:rPr/>
              <w:t>3.087.827,57</w:t>
            </w:r>
          </w:p>
        </w:tc>
        <w:tc>
          <w:tcPr>
            <w:tcW w:w="2208" w:type="dxa"/>
            <w:tcBorders>
              <w:left w:val="single" w:sz="2" w:space="0" w:color="000000"/>
              <w:bottom w:val="single" w:sz="2" w:space="0" w:color="000000"/>
            </w:tcBorders>
            <w:vAlign w:val="bottom"/>
          </w:tcPr>
          <w:p>
            <w:pPr>
              <w:pStyle w:val="Normal"/>
              <w:widowControl w:val="false"/>
              <w:tabs>
                <w:tab w:val="clear" w:pos="708"/>
              </w:tabs>
              <w:spacing w:before="0" w:after="200"/>
              <w:jc w:val="right"/>
              <w:rPr/>
            </w:pPr>
            <w:r>
              <w:rPr/>
              <w:t xml:space="preserve"> € </w:t>
            </w:r>
            <w:r>
              <w:rPr/>
              <w:t>3.459.029,24</w:t>
            </w:r>
          </w:p>
        </w:tc>
        <w:tc>
          <w:tcPr>
            <w:tcW w:w="2435" w:type="dxa"/>
            <w:tcBorders>
              <w:left w:val="single" w:sz="2" w:space="0" w:color="000000"/>
              <w:bottom w:val="single" w:sz="2" w:space="0" w:color="000000"/>
              <w:right w:val="single" w:sz="2" w:space="0" w:color="000000"/>
            </w:tcBorders>
            <w:vAlign w:val="bottom"/>
          </w:tcPr>
          <w:p>
            <w:pPr>
              <w:pStyle w:val="Normal"/>
              <w:widowControl w:val="false"/>
              <w:tabs>
                <w:tab w:val="clear" w:pos="708"/>
              </w:tabs>
              <w:spacing w:before="0" w:after="200"/>
              <w:jc w:val="right"/>
              <w:rPr/>
            </w:pPr>
            <w:r>
              <w:rPr/>
              <w:t xml:space="preserve"> € </w:t>
            </w:r>
            <w:r>
              <w:rPr/>
              <w:t>2.831.229,27</w:t>
            </w:r>
          </w:p>
        </w:tc>
      </w:tr>
    </w:tbl>
    <w:p>
      <w:pPr>
        <w:pStyle w:val="Normal"/>
        <w:widowControl w:val="false"/>
        <w:overflowPunct w:val="true"/>
        <w:spacing w:lineRule="auto" w:line="240" w:before="0" w:after="120"/>
        <w:jc w:val="center"/>
        <w:rPr>
          <w:rFonts w:ascii="Arial" w:hAnsi="Arial" w:eastAsia="Times New Roman" w:cs="Arial"/>
          <w:color w:val="000000"/>
          <w:szCs w:val="22"/>
          <w:highlight w:val="red"/>
          <w:lang w:eastAsia="it-IT"/>
        </w:rPr>
      </w:pPr>
      <w:r>
        <w:rPr>
          <w:rFonts w:eastAsia="Times New Roman" w:cs="Arial" w:ascii="Arial" w:hAnsi="Arial"/>
          <w:color w:val="000000"/>
          <w:szCs w:val="22"/>
          <w:highlight w:val="red"/>
          <w:lang w:eastAsia="it-IT"/>
        </w:rPr>
      </w:r>
    </w:p>
    <w:p>
      <w:pPr>
        <w:pStyle w:val="Normal"/>
        <w:widowControl w:val="false"/>
        <w:overflowPunct w:val="true"/>
        <w:spacing w:lineRule="auto" w:line="240" w:before="0" w:after="120"/>
        <w:textAlignment w:val="baseline"/>
        <w:rPr>
          <w:rFonts w:ascii="Arial" w:hAnsi="Arial" w:eastAsia="Arial Unicode MS" w:cs="Arial"/>
          <w:color w:val="auto"/>
          <w:szCs w:val="22"/>
          <w:lang w:eastAsia="it-IT"/>
        </w:rPr>
      </w:pPr>
      <w:r>
        <w:rPr>
          <w:rFonts w:eastAsia="Arial Unicode MS" w:cs="Arial" w:ascii="Arial" w:hAnsi="Arial"/>
          <w:color w:val="auto"/>
          <w:szCs w:val="22"/>
          <w:lang w:eastAsia="it-IT"/>
        </w:rPr>
        <w:t>L’Organo di revisione ha verificato che alla chiusura dell’esercizio le entrate esigibili che hanno finanziato spese di investimento per le quali, sulla base del principio contabile applicato di cui all’All.4/2 al d.lgs.118/2011 e s.m.i. , non è stato costituito il F.P.V., sono confluite nella corrispondente quota del risultato di amministrazione:</w:t>
      </w:r>
    </w:p>
    <w:p>
      <w:pPr>
        <w:pStyle w:val="Normal"/>
        <w:widowControl w:val="false"/>
        <w:numPr>
          <w:ilvl w:val="0"/>
          <w:numId w:val="9"/>
        </w:numPr>
        <w:suppressAutoHyphens w:val="true"/>
        <w:overflowPunct w:val="true"/>
        <w:spacing w:lineRule="auto" w:line="240" w:before="0" w:after="120"/>
        <w:ind w:left="0" w:hanging="2"/>
        <w:jc w:val="left"/>
        <w:textAlignment w:val="baseline"/>
        <w:rPr>
          <w:rFonts w:ascii="Arial" w:hAnsi="Arial" w:eastAsia="Times New Roman" w:cs="Arial"/>
          <w:color w:val="auto"/>
          <w:szCs w:val="22"/>
          <w:lang w:eastAsia="it-IT"/>
        </w:rPr>
      </w:pPr>
      <w:r>
        <w:rPr>
          <w:rFonts w:eastAsia="Arial Unicode MS" w:cs="Arial" w:ascii="Arial" w:hAnsi="Arial"/>
          <w:color w:val="auto"/>
          <w:szCs w:val="22"/>
          <w:lang w:eastAsia="it-IT"/>
        </w:rPr>
        <w:t>vincolato;</w:t>
      </w:r>
    </w:p>
    <w:p>
      <w:pPr>
        <w:pStyle w:val="Normal"/>
        <w:widowControl w:val="false"/>
        <w:numPr>
          <w:ilvl w:val="0"/>
          <w:numId w:val="9"/>
        </w:numPr>
        <w:suppressAutoHyphens w:val="true"/>
        <w:overflowPunct w:val="true"/>
        <w:spacing w:lineRule="auto" w:line="240" w:before="0" w:after="120"/>
        <w:ind w:left="0" w:hanging="2"/>
        <w:jc w:val="left"/>
        <w:textAlignment w:val="baseline"/>
        <w:rPr>
          <w:rFonts w:ascii="Arial" w:hAnsi="Arial" w:eastAsia="Times New Roman" w:cs="Arial"/>
          <w:color w:val="auto"/>
          <w:szCs w:val="22"/>
          <w:lang w:eastAsia="it-IT"/>
        </w:rPr>
      </w:pPr>
      <w:r>
        <w:rPr>
          <w:rFonts w:eastAsia="Arial Unicode MS" w:cs="Arial" w:ascii="Arial" w:hAnsi="Arial"/>
          <w:color w:val="auto"/>
          <w:szCs w:val="22"/>
          <w:lang w:eastAsia="it-IT"/>
        </w:rPr>
        <w:t>destinato ad investimenti;</w:t>
      </w:r>
    </w:p>
    <w:p>
      <w:pPr>
        <w:pStyle w:val="Normal"/>
        <w:widowControl w:val="false"/>
        <w:numPr>
          <w:ilvl w:val="0"/>
          <w:numId w:val="9"/>
        </w:numPr>
        <w:suppressAutoHyphens w:val="true"/>
        <w:overflowPunct w:val="true"/>
        <w:spacing w:lineRule="auto" w:line="240" w:before="0" w:after="120"/>
        <w:ind w:left="0" w:hanging="2"/>
        <w:jc w:val="left"/>
        <w:textAlignment w:val="baseline"/>
        <w:rPr>
          <w:rFonts w:ascii="Arial" w:hAnsi="Arial" w:eastAsia="Times New Roman" w:cs="Arial"/>
          <w:color w:val="auto"/>
          <w:szCs w:val="22"/>
          <w:lang w:eastAsia="it-IT"/>
        </w:rPr>
      </w:pPr>
      <w:r>
        <w:rPr>
          <w:rFonts w:eastAsia="Arial Unicode MS" w:cs="Arial" w:ascii="Arial" w:hAnsi="Arial"/>
          <w:color w:val="auto"/>
          <w:szCs w:val="22"/>
          <w:lang w:eastAsia="it-IT"/>
        </w:rPr>
        <w:t>libero;</w:t>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Arial Unicode MS" w:cs="Arial" w:ascii="Arial" w:hAnsi="Arial"/>
          <w:color w:val="auto"/>
          <w:szCs w:val="22"/>
          <w:lang w:eastAsia="it-IT"/>
        </w:rPr>
        <w:t xml:space="preserve"> </w:t>
      </w:r>
      <w:r>
        <w:rPr>
          <w:rFonts w:eastAsia="Arial Unicode MS" w:cs="Arial" w:ascii="Arial" w:hAnsi="Arial"/>
          <w:color w:val="auto"/>
          <w:szCs w:val="22"/>
          <w:lang w:eastAsia="it-IT"/>
        </w:rPr>
        <w:t>a seconda della fonte di finanziamento.</w:t>
      </w:r>
    </w:p>
    <w:p>
      <w:pPr>
        <w:pStyle w:val="Normal"/>
        <w:widowControl w:val="false"/>
        <w:overflowPunct w:val="true"/>
        <w:spacing w:lineRule="auto" w:line="240" w:before="0" w:after="120"/>
        <w:textAlignment w:val="baseline"/>
        <w:rPr>
          <w:rFonts w:ascii="Arial" w:hAnsi="Arial" w:eastAsia="Times New Roman" w:cs="Arial"/>
          <w:color w:val="00B0F0"/>
          <w:szCs w:val="22"/>
          <w:lang w:eastAsia="it-IT"/>
        </w:rPr>
      </w:pPr>
      <w:r>
        <w:rPr>
          <w:rFonts w:eastAsia="Times New Roman" w:cs="Arial" w:ascii="Arial" w:hAnsi="Arial"/>
          <w:color w:val="00B0F0"/>
          <w:szCs w:val="22"/>
          <w:lang w:eastAsia="it-IT"/>
        </w:rPr>
      </w:r>
    </w:p>
    <w:p>
      <w:pPr>
        <w:pStyle w:val="Titolo2"/>
        <w:numPr>
          <w:ilvl w:val="1"/>
          <w:numId w:val="65"/>
        </w:numPr>
        <w:ind w:left="851" w:hanging="491"/>
        <w:rPr/>
      </w:pPr>
      <w:r>
        <w:rPr/>
        <w:t>U</w:t>
      </w:r>
      <w:bookmarkStart w:id="14" w:name="_Toc192666971"/>
      <w:bookmarkStart w:id="15" w:name="_Toc130056246"/>
      <w:r>
        <w:rPr/>
        <w:t>tilizzo nell’esercizio 2024 delle risorse del risultato d’amministrazione dell’esercizio 202</w:t>
      </w:r>
      <w:bookmarkEnd w:id="15"/>
      <w:r>
        <w:rPr/>
        <w:t>3</w:t>
      </w:r>
      <w:bookmarkEnd w:id="14"/>
    </w:p>
    <w:p>
      <w:pPr>
        <w:pStyle w:val="Normal"/>
        <w:widowControl w:val="false"/>
        <w:overflowPunct w:val="true"/>
        <w:spacing w:lineRule="auto" w:line="240" w:before="0" w:after="120"/>
        <w:textAlignment w:val="baseline"/>
        <w:rPr>
          <w:rFonts w:ascii="Arial" w:hAnsi="Arial" w:eastAsia="Arial Unicode MS" w:cs="Arial Unicode MS"/>
          <w:b/>
          <w:b/>
          <w:bCs/>
          <w:color w:val="auto"/>
          <w:sz w:val="24"/>
          <w:szCs w:val="24"/>
          <w:lang w:eastAsia="it-IT"/>
        </w:rPr>
      </w:pPr>
      <w:r>
        <w:rPr>
          <w:rFonts w:eastAsia="Arial Unicode MS" w:cs="Arial Unicode MS" w:ascii="Arial" w:hAnsi="Arial"/>
          <w:b/>
          <w:bCs/>
          <w:color w:val="auto"/>
          <w:sz w:val="24"/>
          <w:szCs w:val="24"/>
          <w:lang w:eastAsia="it-IT"/>
        </w:rPr>
        <w:drawing>
          <wp:anchor behindDoc="0" distT="0" distB="0" distL="0" distR="0" simplePos="0" locked="0" layoutInCell="0" allowOverlap="1" relativeHeight="7">
            <wp:simplePos x="0" y="0"/>
            <wp:positionH relativeFrom="column">
              <wp:align>center</wp:align>
            </wp:positionH>
            <wp:positionV relativeFrom="paragraph">
              <wp:posOffset>635</wp:posOffset>
            </wp:positionV>
            <wp:extent cx="7434580" cy="2842260"/>
            <wp:effectExtent l="0" t="0" r="0" b="0"/>
            <wp:wrapSquare wrapText="largest"/>
            <wp:docPr id="6" name="Immagin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4" descr=""/>
                    <pic:cNvPicPr>
                      <a:picLocks noChangeAspect="1" noChangeArrowheads="1"/>
                    </pic:cNvPicPr>
                  </pic:nvPicPr>
                  <pic:blipFill>
                    <a:blip r:embed="rId8"/>
                    <a:stretch>
                      <a:fillRect/>
                    </a:stretch>
                  </pic:blipFill>
                  <pic:spPr bwMode="auto">
                    <a:xfrm>
                      <a:off x="0" y="0"/>
                      <a:ext cx="7434580" cy="2842260"/>
                    </a:xfrm>
                    <a:prstGeom prst="rect">
                      <a:avLst/>
                    </a:prstGeom>
                  </pic:spPr>
                </pic:pic>
              </a:graphicData>
            </a:graphic>
          </wp:anchor>
        </w:drawing>
      </w:r>
    </w:p>
    <w:p>
      <w:pPr>
        <w:pStyle w:val="Normal"/>
        <w:widowControl w:val="false"/>
        <w:overflowPunct w:val="true"/>
        <w:spacing w:lineRule="auto" w:line="240" w:before="0" w:after="120"/>
        <w:textAlignment w:val="baseline"/>
        <w:rPr>
          <w:rFonts w:ascii="Arial" w:hAnsi="Arial" w:eastAsia="Arial Unicode MS" w:cs="Arial"/>
          <w:color w:val="auto"/>
          <w:szCs w:val="22"/>
          <w:lang w:eastAsia="it-IT"/>
        </w:rPr>
      </w:pPr>
      <w:r>
        <w:rPr>
          <w:rFonts w:eastAsia="Arial Unicode MS" w:cs="Arial" w:ascii="Arial" w:hAnsi="Arial"/>
          <w:color w:val="auto"/>
          <w:szCs w:val="22"/>
          <w:lang w:eastAsia="it-IT"/>
        </w:rPr>
        <w:t>L’Organo di revisione ha verificato il rispetto delle finalità indicate in ordine di priorità dall’art. 187 co.2 TUEL oltreché da quanto previsto dall’art.187 co. 3-bis TUEL e dal principio contabile punto 3.3 circa la verifica di congruità del fondo crediti dubbia esigibilità.</w:t>
      </w:r>
    </w:p>
    <w:p>
      <w:pPr>
        <w:pStyle w:val="Titolo2"/>
        <w:numPr>
          <w:ilvl w:val="1"/>
          <w:numId w:val="66"/>
        </w:numPr>
        <w:ind w:left="851" w:hanging="491"/>
        <w:rPr/>
      </w:pPr>
      <w:bookmarkStart w:id="16" w:name="_Toc192666972"/>
      <w:bookmarkStart w:id="17" w:name="_Toc130056247"/>
      <w:bookmarkStart w:id="18" w:name="_Toc127770140"/>
      <w:bookmarkStart w:id="19" w:name="_Toc98417442"/>
      <w:r>
        <w:rPr/>
        <w:t>Conciliazione tra risultato della gestione di competenza e il risultato di amministrazione</w:t>
      </w:r>
      <w:bookmarkEnd w:id="16"/>
      <w:bookmarkEnd w:id="17"/>
      <w:bookmarkEnd w:id="18"/>
      <w:bookmarkEnd w:id="19"/>
    </w:p>
    <w:p>
      <w:pPr>
        <w:pStyle w:val="Normal"/>
        <w:widowControl w:val="false"/>
        <w:numPr>
          <w:ilvl w:val="0"/>
          <w:numId w:val="0"/>
        </w:numPr>
        <w:overflowPunct w:val="true"/>
        <w:spacing w:lineRule="auto" w:line="240" w:before="12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Il risultato della gestione di competenza si concilia con quello di amministrazione, come risulta dai seguenti elementi:</w:t>
      </w:r>
    </w:p>
    <w:p>
      <w:pPr>
        <w:pStyle w:val="Normal"/>
        <w:widowControl w:val="false"/>
        <w:overflowPunct w:val="true"/>
        <w:spacing w:lineRule="auto" w:line="240" w:before="120" w:after="120"/>
        <w:jc w:val="center"/>
        <w:textAlignment w:val="baseline"/>
        <w:rPr>
          <w:rFonts w:ascii="Arial" w:hAnsi="Arial" w:eastAsia="Times New Roman" w:cs="Arial"/>
          <w:b/>
          <w:b/>
          <w:color w:val="auto"/>
          <w:sz w:val="20"/>
          <w:szCs w:val="20"/>
          <w:lang w:eastAsia="it-IT"/>
        </w:rPr>
      </w:pPr>
      <w:r>
        <w:rPr>
          <w:rFonts w:eastAsia="Times New Roman" w:cs="Arial" w:ascii="Arial" w:hAnsi="Arial"/>
          <w:b/>
          <w:color w:val="auto"/>
          <w:sz w:val="20"/>
          <w:szCs w:val="20"/>
          <w:lang w:eastAsia="it-IT"/>
        </w:rPr>
      </w:r>
    </w:p>
    <w:p>
      <w:pPr>
        <w:pStyle w:val="Normal"/>
        <w:widowControl w:val="false"/>
        <w:overflowPunct w:val="true"/>
        <w:spacing w:lineRule="auto" w:line="240" w:before="0" w:after="120"/>
        <w:jc w:val="center"/>
        <w:textAlignment w:val="baseline"/>
        <w:rPr>
          <w:rFonts w:ascii="Arial" w:hAnsi="Arial" w:eastAsia="Times New Roman" w:cs="Arial"/>
          <w:color w:val="auto"/>
          <w:sz w:val="20"/>
          <w:szCs w:val="20"/>
          <w:lang w:eastAsia="it-IT"/>
        </w:rPr>
      </w:pPr>
      <w:r>
        <w:rPr>
          <w:rFonts w:eastAsia="Times New Roman" w:cs="Arial" w:ascii="Arial" w:hAnsi="Arial"/>
          <w:color w:val="auto"/>
          <w:sz w:val="20"/>
          <w:szCs w:val="20"/>
          <w:lang w:eastAsia="it-IT"/>
        </w:rPr>
      </w:r>
    </w:p>
    <w:tbl>
      <w:tblPr>
        <w:tblW w:w="7713" w:type="dxa"/>
        <w:jc w:val="left"/>
        <w:tblInd w:w="-30" w:type="dxa"/>
        <w:tblLayout w:type="fixed"/>
        <w:tblCellMar>
          <w:top w:w="0" w:type="dxa"/>
          <w:left w:w="30" w:type="dxa"/>
          <w:bottom w:w="0" w:type="dxa"/>
          <w:right w:w="30" w:type="dxa"/>
        </w:tblCellMar>
      </w:tblPr>
      <w:tblGrid>
        <w:gridCol w:w="5837"/>
        <w:gridCol w:w="1875"/>
      </w:tblGrid>
      <w:tr>
        <w:trPr>
          <w:trHeight w:val="288" w:hRule="atLeast"/>
        </w:trPr>
        <w:tc>
          <w:tcPr>
            <w:tcW w:w="7712" w:type="dxa"/>
            <w:gridSpan w:val="2"/>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rFonts w:eastAsia="Times New Roman" w:cs="Arial" w:ascii="Arial" w:hAnsi="Arial"/>
                <w:b/>
                <w:bCs/>
                <w:iCs w:val="false"/>
                <w:color w:val="auto"/>
                <w:szCs w:val="22"/>
                <w:lang w:eastAsia="it-IT"/>
              </w:rPr>
              <w:t>RISCONTRO RISULTATI DELLA GESTIONE</w:t>
            </w:r>
          </w:p>
        </w:tc>
      </w:tr>
      <w:tr>
        <w:trPr>
          <w:trHeight w:val="312"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
                <w:bCs w:val="false"/>
                <w:iCs w:val="false"/>
                <w:szCs w:val="24"/>
              </w:rPr>
              <w:t>Gestione di competenza</w:t>
            </w:r>
          </w:p>
        </w:tc>
        <w:tc>
          <w:tcPr>
            <w:tcW w:w="1875" w:type="dxa"/>
            <w:tcBorders/>
            <w:vAlign w:val="bottom"/>
          </w:tcPr>
          <w:p>
            <w:pPr>
              <w:pStyle w:val="Normal"/>
              <w:widowControl w:val="false"/>
              <w:tabs>
                <w:tab w:val="clear" w:pos="708"/>
              </w:tabs>
              <w:spacing w:before="0" w:after="200"/>
              <w:jc w:val="center"/>
              <w:rPr>
                <w:rFonts w:ascii="Arial" w:hAnsi="Arial" w:eastAsia="Times New Roman" w:cs="Arial"/>
                <w:color w:val="auto"/>
                <w:sz w:val="20"/>
                <w:szCs w:val="20"/>
                <w:lang w:eastAsia="it-IT"/>
              </w:rPr>
            </w:pPr>
            <w:r>
              <w:rPr>
                <w:b/>
                <w:bCs w:val="false"/>
                <w:iCs w:val="false"/>
                <w:szCs w:val="24"/>
              </w:rPr>
              <w:t>2024</w:t>
            </w:r>
          </w:p>
        </w:tc>
      </w:tr>
      <w:tr>
        <w:trPr>
          <w:trHeight w:val="288"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
                <w:bCs w:val="false"/>
                <w:iCs w:val="false"/>
                <w:szCs w:val="24"/>
              </w:rPr>
              <w:t>SALDO GESTIONE COMPETENZA*</w:t>
            </w:r>
          </w:p>
        </w:tc>
        <w:tc>
          <w:tcPr>
            <w:tcW w:w="1875" w:type="dxa"/>
            <w:tcBorders/>
            <w:vAlign w:val="bottom"/>
          </w:tcPr>
          <w:p>
            <w:pPr>
              <w:pStyle w:val="Normal"/>
              <w:widowControl w:val="false"/>
              <w:tabs>
                <w:tab w:val="clear" w:pos="708"/>
              </w:tabs>
              <w:spacing w:before="0" w:after="200"/>
              <w:jc w:val="right"/>
              <w:rPr>
                <w:rFonts w:ascii="Arial" w:hAnsi="Arial" w:eastAsia="Times New Roman" w:cs="Arial"/>
                <w:color w:val="auto"/>
                <w:sz w:val="20"/>
                <w:szCs w:val="20"/>
                <w:lang w:eastAsia="it-IT"/>
              </w:rPr>
            </w:pPr>
            <w:r>
              <w:rPr>
                <w:bCs w:val="false"/>
                <w:iCs w:val="false"/>
                <w:szCs w:val="24"/>
              </w:rPr>
              <w:t xml:space="preserve"> € </w:t>
            </w:r>
            <w:r>
              <w:rPr>
                <w:bCs w:val="false"/>
                <w:iCs w:val="false"/>
                <w:szCs w:val="24"/>
              </w:rPr>
              <w:t>3.450.066,64</w:t>
            </w:r>
          </w:p>
        </w:tc>
      </w:tr>
      <w:tr>
        <w:trPr>
          <w:trHeight w:val="288"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
                <w:bCs w:val="false"/>
                <w:iCs w:val="false"/>
                <w:szCs w:val="24"/>
              </w:rPr>
              <w:t>Fondo pluriennale vincolato iscritto in entrata</w:t>
            </w:r>
          </w:p>
        </w:tc>
        <w:tc>
          <w:tcPr>
            <w:tcW w:w="1875" w:type="dxa"/>
            <w:tcBorders/>
            <w:vAlign w:val="bottom"/>
          </w:tcPr>
          <w:p>
            <w:pPr>
              <w:pStyle w:val="Normal"/>
              <w:widowControl w:val="false"/>
              <w:tabs>
                <w:tab w:val="clear" w:pos="708"/>
              </w:tabs>
              <w:spacing w:before="0" w:after="200"/>
              <w:jc w:val="right"/>
              <w:rPr>
                <w:rFonts w:ascii="Arial" w:hAnsi="Arial" w:eastAsia="Times New Roman" w:cs="Arial"/>
                <w:color w:val="auto"/>
                <w:sz w:val="20"/>
                <w:szCs w:val="20"/>
                <w:lang w:eastAsia="it-IT"/>
              </w:rPr>
            </w:pPr>
            <w:r>
              <w:rPr>
                <w:bCs w:val="false"/>
                <w:iCs w:val="false"/>
                <w:szCs w:val="24"/>
              </w:rPr>
              <w:t xml:space="preserve"> € </w:t>
            </w:r>
            <w:r>
              <w:rPr>
                <w:bCs w:val="false"/>
                <w:iCs w:val="false"/>
                <w:szCs w:val="24"/>
              </w:rPr>
              <w:t>2.814.812,12</w:t>
            </w:r>
          </w:p>
        </w:tc>
      </w:tr>
      <w:tr>
        <w:trPr>
          <w:trHeight w:val="288"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
                <w:bCs w:val="false"/>
                <w:iCs w:val="false"/>
                <w:szCs w:val="24"/>
              </w:rPr>
              <w:t>Fondo pluriennale vincolato di spesa</w:t>
            </w:r>
          </w:p>
        </w:tc>
        <w:tc>
          <w:tcPr>
            <w:tcW w:w="1875" w:type="dxa"/>
            <w:tcBorders/>
            <w:vAlign w:val="bottom"/>
          </w:tcPr>
          <w:p>
            <w:pPr>
              <w:pStyle w:val="Normal"/>
              <w:widowControl w:val="false"/>
              <w:tabs>
                <w:tab w:val="clear" w:pos="708"/>
              </w:tabs>
              <w:spacing w:before="0" w:after="200"/>
              <w:jc w:val="right"/>
              <w:rPr>
                <w:rFonts w:ascii="Arial" w:hAnsi="Arial" w:eastAsia="Times New Roman" w:cs="Arial"/>
                <w:color w:val="auto"/>
                <w:sz w:val="20"/>
                <w:szCs w:val="20"/>
                <w:lang w:eastAsia="it-IT"/>
              </w:rPr>
            </w:pPr>
            <w:r>
              <w:rPr>
                <w:bCs w:val="false"/>
                <w:iCs w:val="false"/>
                <w:szCs w:val="24"/>
              </w:rPr>
              <w:t xml:space="preserve"> € </w:t>
            </w:r>
            <w:r>
              <w:rPr>
                <w:bCs w:val="false"/>
                <w:iCs w:val="false"/>
                <w:szCs w:val="24"/>
              </w:rPr>
              <w:t>3.874.462,54</w:t>
            </w:r>
          </w:p>
        </w:tc>
      </w:tr>
      <w:tr>
        <w:trPr>
          <w:trHeight w:val="288"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
                <w:bCs w:val="false"/>
                <w:iCs w:val="false"/>
                <w:szCs w:val="24"/>
              </w:rPr>
              <w:t>SALDO FPV</w:t>
            </w:r>
          </w:p>
        </w:tc>
        <w:tc>
          <w:tcPr>
            <w:tcW w:w="1875" w:type="dxa"/>
            <w:tcBorders/>
            <w:vAlign w:val="bottom"/>
          </w:tcPr>
          <w:p>
            <w:pPr>
              <w:pStyle w:val="Normal"/>
              <w:widowControl w:val="false"/>
              <w:tabs>
                <w:tab w:val="clear" w:pos="708"/>
              </w:tabs>
              <w:spacing w:before="0" w:after="200"/>
              <w:jc w:val="right"/>
              <w:rPr>
                <w:rFonts w:ascii="Arial" w:hAnsi="Arial" w:eastAsia="Times New Roman" w:cs="Arial"/>
                <w:color w:val="auto"/>
                <w:sz w:val="20"/>
                <w:szCs w:val="20"/>
                <w:lang w:eastAsia="it-IT"/>
              </w:rPr>
            </w:pPr>
            <w:r>
              <w:rPr>
                <w:bCs w:val="false"/>
                <w:iCs w:val="false"/>
                <w:szCs w:val="24"/>
              </w:rPr>
              <w:t>-€ 1.059.650,42</w:t>
            </w:r>
          </w:p>
        </w:tc>
      </w:tr>
      <w:tr>
        <w:trPr>
          <w:trHeight w:val="288"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
                <w:bCs w:val="false"/>
                <w:iCs w:val="false"/>
                <w:szCs w:val="24"/>
              </w:rPr>
              <w:t>Gestione dei residui</w:t>
            </w:r>
          </w:p>
        </w:tc>
        <w:tc>
          <w:tcPr>
            <w:tcW w:w="1875"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rFonts w:eastAsia="Times New Roman" w:cs="Arial" w:ascii="Arial" w:hAnsi="Arial"/>
                <w:color w:val="auto"/>
                <w:sz w:val="20"/>
                <w:szCs w:val="20"/>
                <w:lang w:eastAsia="it-IT"/>
              </w:rPr>
            </w:r>
          </w:p>
        </w:tc>
      </w:tr>
      <w:tr>
        <w:trPr>
          <w:trHeight w:val="288"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Cs w:val="false"/>
                <w:iCs w:val="false"/>
                <w:szCs w:val="24"/>
              </w:rPr>
              <w:t>Maggiori residui attivi riaccertati (+)</w:t>
            </w:r>
          </w:p>
        </w:tc>
        <w:tc>
          <w:tcPr>
            <w:tcW w:w="1875" w:type="dxa"/>
            <w:tcBorders/>
            <w:vAlign w:val="bottom"/>
          </w:tcPr>
          <w:p>
            <w:pPr>
              <w:pStyle w:val="Normal"/>
              <w:widowControl w:val="false"/>
              <w:tabs>
                <w:tab w:val="clear" w:pos="708"/>
              </w:tabs>
              <w:spacing w:before="0" w:after="200"/>
              <w:jc w:val="right"/>
              <w:rPr>
                <w:rFonts w:ascii="Arial" w:hAnsi="Arial" w:eastAsia="Times New Roman" w:cs="Arial"/>
                <w:color w:val="auto"/>
                <w:sz w:val="20"/>
                <w:szCs w:val="20"/>
                <w:lang w:eastAsia="it-IT"/>
              </w:rPr>
            </w:pPr>
            <w:r>
              <w:rPr>
                <w:bCs w:val="false"/>
                <w:iCs w:val="false"/>
                <w:szCs w:val="24"/>
              </w:rPr>
              <w:t xml:space="preserve"> € </w:t>
            </w:r>
            <w:r>
              <w:rPr>
                <w:bCs w:val="false"/>
                <w:iCs w:val="false"/>
                <w:szCs w:val="24"/>
              </w:rPr>
              <w:t>0</w:t>
            </w:r>
          </w:p>
        </w:tc>
      </w:tr>
      <w:tr>
        <w:trPr>
          <w:trHeight w:val="288"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Cs w:val="false"/>
                <w:iCs w:val="false"/>
                <w:szCs w:val="24"/>
              </w:rPr>
              <w:t>Minori residui attivi riaccertati (-)</w:t>
            </w:r>
          </w:p>
        </w:tc>
        <w:tc>
          <w:tcPr>
            <w:tcW w:w="1875" w:type="dxa"/>
            <w:tcBorders/>
            <w:vAlign w:val="bottom"/>
          </w:tcPr>
          <w:p>
            <w:pPr>
              <w:pStyle w:val="Normal"/>
              <w:widowControl w:val="false"/>
              <w:tabs>
                <w:tab w:val="clear" w:pos="708"/>
              </w:tabs>
              <w:spacing w:before="0" w:after="200"/>
              <w:jc w:val="right"/>
              <w:rPr>
                <w:rFonts w:ascii="Arial" w:hAnsi="Arial" w:eastAsia="Times New Roman" w:cs="Arial"/>
                <w:color w:val="auto"/>
                <w:sz w:val="20"/>
                <w:szCs w:val="20"/>
                <w:lang w:eastAsia="it-IT"/>
              </w:rPr>
            </w:pPr>
            <w:r>
              <w:rPr>
                <w:bCs w:val="false"/>
                <w:iCs w:val="false"/>
                <w:szCs w:val="24"/>
              </w:rPr>
              <w:t xml:space="preserve"> € </w:t>
            </w:r>
            <w:r>
              <w:rPr>
                <w:bCs w:val="false"/>
                <w:iCs w:val="false"/>
                <w:szCs w:val="24"/>
              </w:rPr>
              <w:t>9.160,07</w:t>
            </w:r>
          </w:p>
        </w:tc>
      </w:tr>
      <w:tr>
        <w:trPr>
          <w:trHeight w:val="316"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Cs w:val="false"/>
                <w:iCs w:val="false"/>
                <w:szCs w:val="24"/>
              </w:rPr>
              <w:t>Minori residui passivi riaccertati (+)</w:t>
            </w:r>
          </w:p>
        </w:tc>
        <w:tc>
          <w:tcPr>
            <w:tcW w:w="1875" w:type="dxa"/>
            <w:tcBorders/>
            <w:vAlign w:val="bottom"/>
          </w:tcPr>
          <w:p>
            <w:pPr>
              <w:pStyle w:val="Normal"/>
              <w:widowControl w:val="false"/>
              <w:tabs>
                <w:tab w:val="clear" w:pos="708"/>
              </w:tabs>
              <w:spacing w:before="0" w:after="200"/>
              <w:jc w:val="right"/>
              <w:rPr>
                <w:rFonts w:ascii="Arial" w:hAnsi="Arial" w:eastAsia="Times New Roman" w:cs="Arial"/>
                <w:color w:val="auto"/>
                <w:sz w:val="20"/>
                <w:szCs w:val="20"/>
                <w:lang w:eastAsia="it-IT"/>
              </w:rPr>
            </w:pPr>
            <w:r>
              <w:rPr>
                <w:bCs w:val="false"/>
                <w:iCs w:val="false"/>
                <w:szCs w:val="24"/>
              </w:rPr>
              <w:t xml:space="preserve"> € </w:t>
            </w:r>
            <w:r>
              <w:rPr>
                <w:bCs w:val="false"/>
                <w:iCs w:val="false"/>
                <w:szCs w:val="24"/>
              </w:rPr>
              <w:t>495.204,83</w:t>
            </w:r>
          </w:p>
        </w:tc>
      </w:tr>
      <w:tr>
        <w:trPr>
          <w:trHeight w:val="288"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
                <w:bCs w:val="false"/>
                <w:iCs w:val="false"/>
                <w:szCs w:val="24"/>
              </w:rPr>
              <w:t>SALDO GESTIONE RESIDUI</w:t>
            </w:r>
          </w:p>
        </w:tc>
        <w:tc>
          <w:tcPr>
            <w:tcW w:w="1875" w:type="dxa"/>
            <w:tcBorders/>
            <w:vAlign w:val="bottom"/>
          </w:tcPr>
          <w:p>
            <w:pPr>
              <w:pStyle w:val="Normal"/>
              <w:widowControl w:val="false"/>
              <w:tabs>
                <w:tab w:val="clear" w:pos="708"/>
              </w:tabs>
              <w:spacing w:before="0" w:after="200"/>
              <w:jc w:val="right"/>
              <w:rPr>
                <w:rFonts w:ascii="Arial" w:hAnsi="Arial" w:eastAsia="Times New Roman" w:cs="Arial"/>
                <w:color w:val="auto"/>
                <w:sz w:val="20"/>
                <w:szCs w:val="20"/>
                <w:lang w:eastAsia="it-IT"/>
              </w:rPr>
            </w:pPr>
            <w:r>
              <w:rPr>
                <w:bCs w:val="false"/>
                <w:iCs w:val="false"/>
                <w:szCs w:val="24"/>
              </w:rPr>
              <w:t xml:space="preserve"> € </w:t>
            </w:r>
            <w:r>
              <w:rPr>
                <w:bCs w:val="false"/>
                <w:iCs w:val="false"/>
                <w:szCs w:val="24"/>
              </w:rPr>
              <w:t>486.044,76</w:t>
            </w:r>
          </w:p>
        </w:tc>
      </w:tr>
      <w:tr>
        <w:trPr>
          <w:trHeight w:val="288"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
                <w:bCs w:val="false"/>
                <w:iCs w:val="false"/>
                <w:szCs w:val="24"/>
              </w:rPr>
              <w:t>Riepilogo</w:t>
            </w:r>
          </w:p>
        </w:tc>
        <w:tc>
          <w:tcPr>
            <w:tcW w:w="1875"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rFonts w:eastAsia="Times New Roman" w:cs="Arial" w:ascii="Arial" w:hAnsi="Arial"/>
                <w:color w:val="auto"/>
                <w:sz w:val="20"/>
                <w:szCs w:val="20"/>
                <w:lang w:eastAsia="it-IT"/>
              </w:rPr>
            </w:r>
          </w:p>
        </w:tc>
      </w:tr>
      <w:tr>
        <w:trPr>
          <w:trHeight w:val="288"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
                <w:bCs w:val="false"/>
                <w:iCs w:val="false"/>
                <w:szCs w:val="24"/>
              </w:rPr>
              <w:t>SALDO GESTIONE COMPETENZA</w:t>
            </w:r>
          </w:p>
        </w:tc>
        <w:tc>
          <w:tcPr>
            <w:tcW w:w="1875" w:type="dxa"/>
            <w:tcBorders/>
            <w:vAlign w:val="bottom"/>
          </w:tcPr>
          <w:p>
            <w:pPr>
              <w:pStyle w:val="Normal"/>
              <w:widowControl w:val="false"/>
              <w:tabs>
                <w:tab w:val="clear" w:pos="708"/>
              </w:tabs>
              <w:spacing w:before="0" w:after="200"/>
              <w:jc w:val="right"/>
              <w:rPr>
                <w:rFonts w:ascii="Arial" w:hAnsi="Arial" w:eastAsia="Times New Roman" w:cs="Arial"/>
                <w:color w:val="auto"/>
                <w:sz w:val="20"/>
                <w:szCs w:val="20"/>
                <w:lang w:eastAsia="it-IT"/>
              </w:rPr>
            </w:pPr>
            <w:r>
              <w:rPr>
                <w:bCs w:val="false"/>
                <w:iCs w:val="false"/>
                <w:szCs w:val="24"/>
              </w:rPr>
              <w:t xml:space="preserve"> € </w:t>
            </w:r>
            <w:r>
              <w:rPr>
                <w:bCs w:val="false"/>
                <w:iCs w:val="false"/>
                <w:szCs w:val="24"/>
              </w:rPr>
              <w:t>3.450.066,64</w:t>
            </w:r>
          </w:p>
        </w:tc>
      </w:tr>
      <w:tr>
        <w:trPr>
          <w:trHeight w:val="288"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
                <w:bCs w:val="false"/>
                <w:iCs w:val="false"/>
                <w:szCs w:val="24"/>
              </w:rPr>
              <w:t>SALDO FPV</w:t>
            </w:r>
          </w:p>
        </w:tc>
        <w:tc>
          <w:tcPr>
            <w:tcW w:w="1875" w:type="dxa"/>
            <w:tcBorders/>
            <w:vAlign w:val="bottom"/>
          </w:tcPr>
          <w:p>
            <w:pPr>
              <w:pStyle w:val="Normal"/>
              <w:widowControl w:val="false"/>
              <w:tabs>
                <w:tab w:val="clear" w:pos="708"/>
              </w:tabs>
              <w:spacing w:before="0" w:after="200"/>
              <w:jc w:val="right"/>
              <w:rPr>
                <w:rFonts w:ascii="Arial" w:hAnsi="Arial" w:eastAsia="Times New Roman" w:cs="Arial"/>
                <w:color w:val="auto"/>
                <w:sz w:val="20"/>
                <w:szCs w:val="20"/>
                <w:lang w:eastAsia="it-IT"/>
              </w:rPr>
            </w:pPr>
            <w:r>
              <w:rPr>
                <w:bCs w:val="false"/>
                <w:iCs w:val="false"/>
                <w:szCs w:val="24"/>
              </w:rPr>
              <w:t>-€ 1.059.650,42</w:t>
            </w:r>
          </w:p>
        </w:tc>
      </w:tr>
      <w:tr>
        <w:trPr>
          <w:trHeight w:val="288"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
                <w:bCs w:val="false"/>
                <w:iCs w:val="false"/>
                <w:szCs w:val="24"/>
              </w:rPr>
              <w:t>SALDO GESTIONE RESIDUI</w:t>
            </w:r>
          </w:p>
        </w:tc>
        <w:tc>
          <w:tcPr>
            <w:tcW w:w="1875" w:type="dxa"/>
            <w:tcBorders/>
            <w:vAlign w:val="bottom"/>
          </w:tcPr>
          <w:p>
            <w:pPr>
              <w:pStyle w:val="Normal"/>
              <w:widowControl w:val="false"/>
              <w:tabs>
                <w:tab w:val="clear" w:pos="708"/>
              </w:tabs>
              <w:spacing w:before="0" w:after="200"/>
              <w:jc w:val="right"/>
              <w:rPr>
                <w:rFonts w:ascii="Arial" w:hAnsi="Arial" w:eastAsia="Times New Roman" w:cs="Arial"/>
                <w:color w:val="auto"/>
                <w:sz w:val="20"/>
                <w:szCs w:val="20"/>
                <w:lang w:eastAsia="it-IT"/>
              </w:rPr>
            </w:pPr>
            <w:r>
              <w:rPr>
                <w:bCs w:val="false"/>
                <w:iCs w:val="false"/>
                <w:szCs w:val="24"/>
              </w:rPr>
              <w:t xml:space="preserve"> € </w:t>
            </w:r>
            <w:r>
              <w:rPr>
                <w:bCs w:val="false"/>
                <w:iCs w:val="false"/>
                <w:szCs w:val="24"/>
              </w:rPr>
              <w:t>486.044,76</w:t>
            </w:r>
          </w:p>
        </w:tc>
      </w:tr>
      <w:tr>
        <w:trPr>
          <w:trHeight w:val="288"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Cs w:val="false"/>
                <w:iCs w:val="false"/>
                <w:szCs w:val="24"/>
              </w:rPr>
              <w:t>AVANZO ESERCIZI PRECEDENTI APPLICATO</w:t>
            </w:r>
          </w:p>
        </w:tc>
        <w:tc>
          <w:tcPr>
            <w:tcW w:w="1875" w:type="dxa"/>
            <w:tcBorders/>
            <w:vAlign w:val="bottom"/>
          </w:tcPr>
          <w:p>
            <w:pPr>
              <w:pStyle w:val="Normal"/>
              <w:widowControl w:val="false"/>
              <w:tabs>
                <w:tab w:val="clear" w:pos="708"/>
              </w:tabs>
              <w:spacing w:before="0" w:after="200"/>
              <w:jc w:val="right"/>
              <w:rPr>
                <w:rFonts w:ascii="Arial" w:hAnsi="Arial" w:eastAsia="Times New Roman" w:cs="Arial"/>
                <w:color w:val="auto"/>
                <w:sz w:val="20"/>
                <w:szCs w:val="20"/>
                <w:lang w:eastAsia="it-IT"/>
              </w:rPr>
            </w:pPr>
            <w:r>
              <w:rPr>
                <w:bCs w:val="false"/>
                <w:iCs w:val="false"/>
                <w:szCs w:val="24"/>
              </w:rPr>
              <w:t xml:space="preserve"> € </w:t>
            </w:r>
            <w:r>
              <w:rPr>
                <w:bCs w:val="false"/>
                <w:iCs w:val="false"/>
                <w:szCs w:val="24"/>
              </w:rPr>
              <w:t>3.798.271,19</w:t>
            </w:r>
          </w:p>
        </w:tc>
      </w:tr>
      <w:tr>
        <w:trPr>
          <w:trHeight w:val="288"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Cs w:val="false"/>
                <w:iCs w:val="false"/>
                <w:szCs w:val="24"/>
              </w:rPr>
              <w:t>AVANZO ESERCIZI PRECEDENTI NON APPLICATO</w:t>
            </w:r>
          </w:p>
        </w:tc>
        <w:tc>
          <w:tcPr>
            <w:tcW w:w="1875" w:type="dxa"/>
            <w:tcBorders/>
            <w:vAlign w:val="bottom"/>
          </w:tcPr>
          <w:p>
            <w:pPr>
              <w:pStyle w:val="Normal"/>
              <w:widowControl w:val="false"/>
              <w:tabs>
                <w:tab w:val="clear" w:pos="708"/>
              </w:tabs>
              <w:spacing w:before="0" w:after="200"/>
              <w:jc w:val="right"/>
              <w:rPr>
                <w:rFonts w:ascii="Arial" w:hAnsi="Arial" w:eastAsia="Times New Roman" w:cs="Arial"/>
                <w:color w:val="auto"/>
                <w:sz w:val="20"/>
                <w:szCs w:val="20"/>
                <w:lang w:eastAsia="it-IT"/>
              </w:rPr>
            </w:pPr>
            <w:r>
              <w:rPr>
                <w:bCs w:val="false"/>
                <w:iCs w:val="false"/>
                <w:szCs w:val="24"/>
              </w:rPr>
              <w:t xml:space="preserve"> € </w:t>
            </w:r>
            <w:r>
              <w:rPr>
                <w:bCs w:val="false"/>
                <w:iCs w:val="false"/>
                <w:szCs w:val="24"/>
              </w:rPr>
              <w:t>18.624.747,85</w:t>
            </w:r>
          </w:p>
        </w:tc>
      </w:tr>
      <w:tr>
        <w:trPr>
          <w:trHeight w:val="288"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
                <w:bCs w:val="false"/>
                <w:iCs w:val="false"/>
                <w:szCs w:val="24"/>
              </w:rPr>
              <w:t>RISULTATO DI AMMINISTRAZIONE AL 31/12/2024</w:t>
            </w:r>
          </w:p>
        </w:tc>
        <w:tc>
          <w:tcPr>
            <w:tcW w:w="1875" w:type="dxa"/>
            <w:tcBorders/>
            <w:vAlign w:val="bottom"/>
          </w:tcPr>
          <w:p>
            <w:pPr>
              <w:pStyle w:val="Normal"/>
              <w:widowControl w:val="false"/>
              <w:tabs>
                <w:tab w:val="clear" w:pos="708"/>
              </w:tabs>
              <w:spacing w:before="0" w:after="200"/>
              <w:jc w:val="right"/>
              <w:rPr>
                <w:rFonts w:ascii="Arial" w:hAnsi="Arial" w:eastAsia="Times New Roman" w:cs="Arial"/>
                <w:color w:val="auto"/>
                <w:sz w:val="20"/>
                <w:szCs w:val="20"/>
                <w:lang w:eastAsia="it-IT"/>
              </w:rPr>
            </w:pPr>
            <w:r>
              <w:rPr>
                <w:bCs w:val="false"/>
                <w:iCs w:val="false"/>
                <w:szCs w:val="24"/>
              </w:rPr>
              <w:t xml:space="preserve"> € </w:t>
            </w:r>
            <w:r>
              <w:rPr>
                <w:bCs w:val="false"/>
                <w:iCs w:val="false"/>
                <w:szCs w:val="24"/>
              </w:rPr>
              <w:t>25.299.480,02</w:t>
            </w:r>
          </w:p>
        </w:tc>
      </w:tr>
      <w:tr>
        <w:trPr>
          <w:trHeight w:val="288" w:hRule="atLeast"/>
        </w:trPr>
        <w:tc>
          <w:tcPr>
            <w:tcW w:w="5837"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bCs/>
                <w:iCs w:val="false"/>
                <w:szCs w:val="24"/>
              </w:rPr>
              <w:t>*saldo accertamenti e impegni del solo esercizio 2024</w:t>
            </w:r>
          </w:p>
        </w:tc>
        <w:tc>
          <w:tcPr>
            <w:tcW w:w="1875" w:type="dxa"/>
            <w:tcBorders/>
            <w:vAlign w:val="bottom"/>
          </w:tcPr>
          <w:p>
            <w:pPr>
              <w:pStyle w:val="Normal"/>
              <w:widowControl w:val="false"/>
              <w:tabs>
                <w:tab w:val="clear" w:pos="708"/>
              </w:tabs>
              <w:spacing w:before="0" w:after="200"/>
              <w:jc w:val="left"/>
              <w:rPr>
                <w:rFonts w:ascii="Arial" w:hAnsi="Arial" w:eastAsia="Times New Roman" w:cs="Arial"/>
                <w:color w:val="auto"/>
                <w:sz w:val="20"/>
                <w:szCs w:val="20"/>
                <w:lang w:eastAsia="it-IT"/>
              </w:rPr>
            </w:pPr>
            <w:r>
              <w:rPr>
                <w:rFonts w:eastAsia="Times New Roman" w:cs="Arial" w:ascii="Arial" w:hAnsi="Arial"/>
                <w:color w:val="auto"/>
                <w:sz w:val="20"/>
                <w:szCs w:val="20"/>
                <w:lang w:eastAsia="it-IT"/>
              </w:rPr>
            </w:r>
          </w:p>
        </w:tc>
      </w:tr>
    </w:tbl>
    <w:p>
      <w:pPr>
        <w:pStyle w:val="Normal"/>
        <w:rPr>
          <w:rFonts w:ascii="Arial" w:hAnsi="Arial" w:eastAsia="Times New Roman" w:cs="Arial"/>
          <w:color w:val="auto"/>
          <w:sz w:val="20"/>
          <w:szCs w:val="20"/>
          <w:lang w:eastAsia="it-IT"/>
        </w:rPr>
      </w:pPr>
      <w:r>
        <w:rPr>
          <w:rFonts w:eastAsia="Times New Roman" w:cs="Arial" w:ascii="Arial" w:hAnsi="Arial"/>
          <w:color w:val="auto"/>
          <w:sz w:val="20"/>
          <w:szCs w:val="20"/>
          <w:lang w:eastAsia="it-IT"/>
        </w:rPr>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La gestione della parte corrente, distinta dalla parte in conto capitale, integrata con l’applicazione a bilancio dell’avanzo derivante dagli esercizi precedenti, presenta per l’anno 2024 la seguente situazione:</w:t>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tbl>
      <w:tblPr>
        <w:tblW w:w="8284" w:type="dxa"/>
        <w:jc w:val="left"/>
        <w:tblInd w:w="-2" w:type="dxa"/>
        <w:tblLayout w:type="fixed"/>
        <w:tblCellMar>
          <w:top w:w="0" w:type="dxa"/>
          <w:left w:w="28" w:type="dxa"/>
          <w:bottom w:w="0" w:type="dxa"/>
          <w:right w:w="28" w:type="dxa"/>
        </w:tblCellMar>
      </w:tblPr>
      <w:tblGrid>
        <w:gridCol w:w="5937"/>
        <w:gridCol w:w="493"/>
        <w:gridCol w:w="1854"/>
      </w:tblGrid>
      <w:tr>
        <w:trPr>
          <w:trHeight w:val="316" w:hRule="atLeast"/>
        </w:trPr>
        <w:tc>
          <w:tcPr>
            <w:tcW w:w="5937"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right"/>
              <w:rPr>
                <w:rFonts w:ascii="Calibri" w:hAnsi="Calibri"/>
                <w:b w:val="false"/>
                <w:b w:val="false"/>
                <w:bCs w:val="false"/>
                <w:sz w:val="22"/>
                <w:szCs w:val="22"/>
              </w:rPr>
            </w:pPr>
            <w:r>
              <w:rPr>
                <w:rFonts w:eastAsia="Times New Roman" w:cs="Arial"/>
                <w:b w:val="false"/>
                <w:bCs w:val="false"/>
                <w:color w:val="auto" w:themeColor="text1" w:themeTint="bf"/>
                <w:sz w:val="22"/>
                <w:szCs w:val="22"/>
                <w:lang w:eastAsia="it-IT"/>
              </w:rPr>
              <w:t>O1) RISULTATO DI COMPETENZA DI PARTE CORRENTE</w:t>
            </w:r>
          </w:p>
        </w:tc>
        <w:tc>
          <w:tcPr>
            <w:tcW w:w="493"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center"/>
              <w:rPr>
                <w:rFonts w:ascii="Calibri" w:hAnsi="Calibri"/>
                <w:b w:val="false"/>
                <w:b w:val="false"/>
                <w:bCs w:val="false"/>
                <w:sz w:val="22"/>
                <w:szCs w:val="22"/>
              </w:rPr>
            </w:pPr>
            <w:r>
              <w:rPr>
                <w:b w:val="false"/>
                <w:bCs w:val="false"/>
                <w:sz w:val="22"/>
                <w:szCs w:val="22"/>
              </w:rPr>
            </w:r>
          </w:p>
        </w:tc>
        <w:tc>
          <w:tcPr>
            <w:tcW w:w="185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b w:val="false"/>
                <w:b w:val="false"/>
                <w:bCs w:val="false"/>
                <w:sz w:val="22"/>
                <w:szCs w:val="22"/>
              </w:rPr>
            </w:pPr>
            <w:r>
              <w:rPr>
                <w:b/>
                <w:bCs/>
                <w:sz w:val="22"/>
                <w:szCs w:val="22"/>
              </w:rPr>
              <w:t xml:space="preserve"> </w:t>
            </w:r>
            <w:r>
              <w:rPr>
                <w:b/>
                <w:bCs/>
                <w:sz w:val="22"/>
                <w:szCs w:val="22"/>
              </w:rPr>
              <w:t>4.989.923,09</w:t>
            </w:r>
            <w:r>
              <w:rPr>
                <w:b w:val="false"/>
                <w:bCs w:val="false"/>
                <w:sz w:val="22"/>
                <w:szCs w:val="22"/>
              </w:rPr>
              <w:t xml:space="preserve"> €</w:t>
            </w:r>
          </w:p>
        </w:tc>
      </w:tr>
    </w:tbl>
    <w:p>
      <w:pPr>
        <w:pStyle w:val="Normal"/>
        <w:widowControl w:val="false"/>
        <w:overflowPunct w:val="true"/>
        <w:spacing w:lineRule="auto" w:line="240" w:before="0" w:after="120"/>
        <w:textAlignment w:val="baseline"/>
        <w:rPr>
          <w:rFonts w:ascii="Arial" w:hAnsi="Arial" w:eastAsia="Times New Roman" w:cs="Arial"/>
          <w:color w:val="auto"/>
          <w:sz w:val="20"/>
          <w:szCs w:val="20"/>
          <w:lang w:eastAsia="it-IT"/>
        </w:rPr>
      </w:pPr>
      <w:r>
        <w:rPr>
          <w:rFonts w:eastAsia="Times New Roman" w:cs="Arial" w:ascii="Arial" w:hAnsi="Arial"/>
          <w:color w:val="auto"/>
          <w:sz w:val="20"/>
          <w:szCs w:val="20"/>
          <w:lang w:eastAsia="it-IT"/>
        </w:rPr>
      </w:r>
    </w:p>
    <w:tbl>
      <w:tblPr>
        <w:tblW w:w="8284" w:type="dxa"/>
        <w:jc w:val="left"/>
        <w:tblInd w:w="-2" w:type="dxa"/>
        <w:tblLayout w:type="fixed"/>
        <w:tblCellMar>
          <w:top w:w="0" w:type="dxa"/>
          <w:left w:w="28" w:type="dxa"/>
          <w:bottom w:w="0" w:type="dxa"/>
          <w:right w:w="28" w:type="dxa"/>
        </w:tblCellMar>
      </w:tblPr>
      <w:tblGrid>
        <w:gridCol w:w="5937"/>
        <w:gridCol w:w="493"/>
        <w:gridCol w:w="1854"/>
      </w:tblGrid>
      <w:tr>
        <w:trPr>
          <w:trHeight w:val="498" w:hRule="atLeast"/>
        </w:trPr>
        <w:tc>
          <w:tcPr>
            <w:tcW w:w="5937"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left"/>
              <w:rPr>
                <w:rFonts w:ascii="Calibri" w:hAnsi="Calibri"/>
                <w:sz w:val="22"/>
                <w:szCs w:val="22"/>
              </w:rPr>
            </w:pPr>
            <w:r>
              <w:rPr>
                <w:sz w:val="22"/>
                <w:szCs w:val="22"/>
              </w:rPr>
              <w:t>- Risorse accantonate  di parte corrente stanziate nel bilancio dell'esercizio N</w:t>
            </w:r>
          </w:p>
        </w:tc>
        <w:tc>
          <w:tcPr>
            <w:tcW w:w="493"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center"/>
              <w:rPr>
                <w:rFonts w:ascii="Calibri" w:hAnsi="Calibri"/>
                <w:sz w:val="22"/>
                <w:szCs w:val="22"/>
              </w:rPr>
            </w:pPr>
            <w:r>
              <w:rPr>
                <w:sz w:val="22"/>
                <w:szCs w:val="22"/>
              </w:rPr>
              <w:t>(-)</w:t>
            </w:r>
          </w:p>
        </w:tc>
        <w:tc>
          <w:tcPr>
            <w:tcW w:w="185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sz w:val="22"/>
                <w:szCs w:val="22"/>
              </w:rPr>
              <w:t>4.323.807,08 €</w:t>
            </w:r>
          </w:p>
        </w:tc>
      </w:tr>
      <w:tr>
        <w:trPr>
          <w:trHeight w:val="316" w:hRule="atLeast"/>
        </w:trPr>
        <w:tc>
          <w:tcPr>
            <w:tcW w:w="5937" w:type="dxa"/>
            <w:tcBorders>
              <w:left w:val="single" w:sz="2" w:space="0" w:color="000000"/>
              <w:bottom w:val="single" w:sz="2" w:space="0" w:color="000000"/>
            </w:tcBorders>
            <w:vAlign w:val="center"/>
          </w:tcPr>
          <w:p>
            <w:pPr>
              <w:pStyle w:val="Normal"/>
              <w:widowControl w:val="false"/>
              <w:tabs>
                <w:tab w:val="clear" w:pos="708"/>
              </w:tabs>
              <w:spacing w:before="0" w:after="200"/>
              <w:jc w:val="left"/>
              <w:rPr>
                <w:rFonts w:ascii="Calibri" w:hAnsi="Calibri"/>
                <w:sz w:val="22"/>
                <w:szCs w:val="22"/>
              </w:rPr>
            </w:pPr>
            <w:r>
              <w:rPr>
                <w:sz w:val="22"/>
                <w:szCs w:val="22"/>
              </w:rPr>
              <w:t>- Risorse vincolate di parte corrente nel bilancio</w:t>
            </w:r>
          </w:p>
        </w:tc>
        <w:tc>
          <w:tcPr>
            <w:tcW w:w="493" w:type="dxa"/>
            <w:tcBorders>
              <w:left w:val="single" w:sz="2" w:space="0" w:color="000000"/>
              <w:bottom w:val="single" w:sz="2" w:space="0" w:color="000000"/>
            </w:tcBorders>
            <w:vAlign w:val="center"/>
          </w:tcPr>
          <w:p>
            <w:pPr>
              <w:pStyle w:val="Normal"/>
              <w:widowControl w:val="false"/>
              <w:tabs>
                <w:tab w:val="clear" w:pos="708"/>
              </w:tabs>
              <w:spacing w:before="0" w:after="200"/>
              <w:jc w:val="center"/>
              <w:rPr>
                <w:rFonts w:ascii="Calibri" w:hAnsi="Calibri"/>
                <w:sz w:val="22"/>
                <w:szCs w:val="22"/>
              </w:rPr>
            </w:pPr>
            <w:r>
              <w:rPr>
                <w:sz w:val="22"/>
                <w:szCs w:val="22"/>
              </w:rPr>
              <w:t>(-)</w:t>
            </w:r>
          </w:p>
        </w:tc>
        <w:tc>
          <w:tcPr>
            <w:tcW w:w="1854"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sz w:val="22"/>
                <w:szCs w:val="22"/>
              </w:rPr>
              <w:t xml:space="preserve"> </w:t>
            </w:r>
            <w:r>
              <w:rPr>
                <w:sz w:val="22"/>
                <w:szCs w:val="22"/>
              </w:rPr>
              <w:t>468.466,93 €</w:t>
            </w:r>
          </w:p>
        </w:tc>
      </w:tr>
      <w:tr>
        <w:trPr>
          <w:trHeight w:val="292" w:hRule="atLeast"/>
        </w:trPr>
        <w:tc>
          <w:tcPr>
            <w:tcW w:w="5937"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b/>
                <w:sz w:val="22"/>
                <w:szCs w:val="22"/>
              </w:rPr>
              <w:t>O2) EQUILIBRIO DI BILANCIO  DI PARTE CORRENTE</w:t>
            </w:r>
          </w:p>
        </w:tc>
        <w:tc>
          <w:tcPr>
            <w:tcW w:w="493" w:type="dxa"/>
            <w:tcBorders>
              <w:left w:val="single" w:sz="2" w:space="0" w:color="000000"/>
              <w:bottom w:val="single" w:sz="2" w:space="0" w:color="000000"/>
            </w:tcBorders>
            <w:vAlign w:val="center"/>
          </w:tcPr>
          <w:p>
            <w:pPr>
              <w:pStyle w:val="Normal"/>
              <w:widowControl w:val="false"/>
              <w:tabs>
                <w:tab w:val="clear" w:pos="708"/>
              </w:tabs>
              <w:spacing w:before="0" w:after="200"/>
              <w:jc w:val="center"/>
              <w:rPr>
                <w:rFonts w:ascii="Calibri" w:hAnsi="Calibri"/>
                <w:sz w:val="22"/>
                <w:szCs w:val="22"/>
              </w:rPr>
            </w:pPr>
            <w:r>
              <w:rPr>
                <w:sz w:val="22"/>
                <w:szCs w:val="22"/>
              </w:rPr>
            </w:r>
          </w:p>
        </w:tc>
        <w:tc>
          <w:tcPr>
            <w:tcW w:w="1854"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b/>
                <w:sz w:val="22"/>
                <w:szCs w:val="22"/>
              </w:rPr>
              <w:t xml:space="preserve"> </w:t>
            </w:r>
            <w:r>
              <w:rPr>
                <w:b/>
                <w:sz w:val="22"/>
                <w:szCs w:val="22"/>
              </w:rPr>
              <w:t>197.649,08 €</w:t>
            </w:r>
          </w:p>
        </w:tc>
      </w:tr>
      <w:tr>
        <w:trPr>
          <w:trHeight w:val="498" w:hRule="atLeast"/>
        </w:trPr>
        <w:tc>
          <w:tcPr>
            <w:tcW w:w="5937" w:type="dxa"/>
            <w:tcBorders>
              <w:left w:val="single" w:sz="2" w:space="0" w:color="000000"/>
              <w:bottom w:val="single" w:sz="2" w:space="0" w:color="000000"/>
            </w:tcBorders>
            <w:vAlign w:val="center"/>
          </w:tcPr>
          <w:p>
            <w:pPr>
              <w:pStyle w:val="Normal"/>
              <w:widowControl w:val="false"/>
              <w:tabs>
                <w:tab w:val="clear" w:pos="708"/>
              </w:tabs>
              <w:spacing w:before="0" w:after="200"/>
              <w:jc w:val="left"/>
              <w:rPr>
                <w:rFonts w:ascii="Calibri" w:hAnsi="Calibri"/>
                <w:sz w:val="22"/>
                <w:szCs w:val="22"/>
              </w:rPr>
            </w:pPr>
            <w:r>
              <w:rPr>
                <w:sz w:val="22"/>
                <w:szCs w:val="22"/>
              </w:rPr>
              <w:t>- Variazione accantonamenti di parte corrente effettuata in sede di rendiconto'(+)/(-)</w:t>
            </w:r>
          </w:p>
        </w:tc>
        <w:tc>
          <w:tcPr>
            <w:tcW w:w="493" w:type="dxa"/>
            <w:tcBorders>
              <w:left w:val="single" w:sz="2" w:space="0" w:color="000000"/>
              <w:bottom w:val="single" w:sz="2" w:space="0" w:color="000000"/>
            </w:tcBorders>
            <w:vAlign w:val="center"/>
          </w:tcPr>
          <w:p>
            <w:pPr>
              <w:pStyle w:val="Normal"/>
              <w:widowControl w:val="false"/>
              <w:tabs>
                <w:tab w:val="clear" w:pos="708"/>
              </w:tabs>
              <w:spacing w:before="0" w:after="200"/>
              <w:jc w:val="center"/>
              <w:rPr>
                <w:rFonts w:ascii="Calibri" w:hAnsi="Calibri"/>
                <w:sz w:val="22"/>
                <w:szCs w:val="22"/>
              </w:rPr>
            </w:pPr>
            <w:r>
              <w:rPr>
                <w:sz w:val="22"/>
                <w:szCs w:val="22"/>
              </w:rPr>
              <w:t>(-)</w:t>
            </w:r>
          </w:p>
        </w:tc>
        <w:tc>
          <w:tcPr>
            <w:tcW w:w="1854"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sz w:val="22"/>
                <w:szCs w:val="22"/>
              </w:rPr>
              <w:t xml:space="preserve"> </w:t>
            </w:r>
            <w:r>
              <w:rPr>
                <w:sz w:val="22"/>
                <w:szCs w:val="22"/>
              </w:rPr>
              <w:t>-1.025.050,74 €</w:t>
            </w:r>
          </w:p>
        </w:tc>
      </w:tr>
      <w:tr>
        <w:trPr>
          <w:trHeight w:val="292" w:hRule="atLeast"/>
        </w:trPr>
        <w:tc>
          <w:tcPr>
            <w:tcW w:w="5937"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b/>
                <w:sz w:val="22"/>
                <w:szCs w:val="22"/>
              </w:rPr>
              <w:t>O3)  EQUILIBRIO COMPLESSIVO DI PARTE CORRENTE</w:t>
            </w:r>
          </w:p>
        </w:tc>
        <w:tc>
          <w:tcPr>
            <w:tcW w:w="493" w:type="dxa"/>
            <w:tcBorders>
              <w:left w:val="single" w:sz="2" w:space="0" w:color="000000"/>
              <w:bottom w:val="single" w:sz="2" w:space="0" w:color="000000"/>
            </w:tcBorders>
            <w:vAlign w:val="center"/>
          </w:tcPr>
          <w:p>
            <w:pPr>
              <w:pStyle w:val="Normal"/>
              <w:widowControl w:val="false"/>
              <w:tabs>
                <w:tab w:val="clear" w:pos="708"/>
              </w:tabs>
              <w:spacing w:before="0" w:after="200"/>
              <w:jc w:val="center"/>
              <w:rPr>
                <w:rFonts w:ascii="Calibri" w:hAnsi="Calibri"/>
                <w:sz w:val="22"/>
                <w:szCs w:val="22"/>
              </w:rPr>
            </w:pPr>
            <w:r>
              <w:rPr>
                <w:sz w:val="22"/>
                <w:szCs w:val="22"/>
              </w:rPr>
            </w:r>
          </w:p>
        </w:tc>
        <w:tc>
          <w:tcPr>
            <w:tcW w:w="1854"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b/>
                <w:sz w:val="22"/>
                <w:szCs w:val="22"/>
              </w:rPr>
              <w:t>1.222.699,82 €</w:t>
            </w:r>
          </w:p>
        </w:tc>
      </w:tr>
      <w:tr>
        <w:trPr>
          <w:trHeight w:val="316" w:hRule="atLeast"/>
        </w:trPr>
        <w:tc>
          <w:tcPr>
            <w:tcW w:w="8284" w:type="dxa"/>
            <w:gridSpan w:val="3"/>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pPr>
              <w:pStyle w:val="Normal"/>
              <w:widowControl w:val="false"/>
              <w:tabs>
                <w:tab w:val="clear" w:pos="708"/>
              </w:tabs>
              <w:spacing w:before="0" w:after="200"/>
              <w:jc w:val="left"/>
              <w:rPr>
                <w:rFonts w:ascii="Liberation Serif" w:hAnsi="Liberation Serif"/>
                <w:b w:val="false"/>
                <w:b w:val="false"/>
                <w:bCs w:val="false"/>
                <w:i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r>
          </w:p>
        </w:tc>
      </w:tr>
      <w:tr>
        <w:trPr>
          <w:trHeight w:val="316" w:hRule="atLeast"/>
        </w:trPr>
        <w:tc>
          <w:tcPr>
            <w:tcW w:w="5937"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b/>
                <w:sz w:val="22"/>
                <w:szCs w:val="22"/>
              </w:rPr>
              <w:t>Z1) RISULTATO DI COMPETENZA IN C/CAPITALE</w:t>
            </w:r>
          </w:p>
        </w:tc>
        <w:tc>
          <w:tcPr>
            <w:tcW w:w="493" w:type="dxa"/>
            <w:tcBorders>
              <w:left w:val="single" w:sz="2" w:space="0" w:color="000000"/>
              <w:bottom w:val="single" w:sz="2" w:space="0" w:color="000000"/>
            </w:tcBorders>
            <w:vAlign w:val="center"/>
          </w:tcPr>
          <w:p>
            <w:pPr>
              <w:pStyle w:val="Normal"/>
              <w:widowControl w:val="false"/>
              <w:tabs>
                <w:tab w:val="clear" w:pos="708"/>
              </w:tabs>
              <w:spacing w:before="0" w:after="200"/>
              <w:jc w:val="center"/>
              <w:rPr>
                <w:rFonts w:ascii="Calibri" w:hAnsi="Calibri"/>
                <w:sz w:val="22"/>
                <w:szCs w:val="22"/>
              </w:rPr>
            </w:pPr>
            <w:r>
              <w:rPr>
                <w:sz w:val="22"/>
                <w:szCs w:val="22"/>
              </w:rPr>
            </w:r>
          </w:p>
        </w:tc>
        <w:tc>
          <w:tcPr>
            <w:tcW w:w="1854"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b/>
                <w:sz w:val="22"/>
                <w:szCs w:val="22"/>
              </w:rPr>
              <w:t>1.198.764,32 €</w:t>
            </w:r>
          </w:p>
        </w:tc>
      </w:tr>
      <w:tr>
        <w:trPr>
          <w:trHeight w:val="498" w:hRule="atLeast"/>
        </w:trPr>
        <w:tc>
          <w:tcPr>
            <w:tcW w:w="5937" w:type="dxa"/>
            <w:tcBorders>
              <w:left w:val="single" w:sz="2" w:space="0" w:color="000000"/>
              <w:bottom w:val="single" w:sz="2" w:space="0" w:color="000000"/>
            </w:tcBorders>
            <w:vAlign w:val="center"/>
          </w:tcPr>
          <w:p>
            <w:pPr>
              <w:pStyle w:val="Normal"/>
              <w:widowControl w:val="false"/>
              <w:tabs>
                <w:tab w:val="clear" w:pos="708"/>
              </w:tabs>
              <w:spacing w:before="0" w:after="200"/>
              <w:jc w:val="left"/>
              <w:rPr>
                <w:rFonts w:ascii="Calibri" w:hAnsi="Calibri"/>
                <w:sz w:val="22"/>
                <w:szCs w:val="22"/>
              </w:rPr>
            </w:pPr>
            <w:r>
              <w:rPr>
                <w:sz w:val="22"/>
                <w:szCs w:val="22"/>
              </w:rPr>
              <w:t>Z/1) Risorse accantonate  in c/capitale stanziate nel bilancio dell'esercizio N</w:t>
            </w:r>
          </w:p>
        </w:tc>
        <w:tc>
          <w:tcPr>
            <w:tcW w:w="493" w:type="dxa"/>
            <w:tcBorders>
              <w:left w:val="single" w:sz="2" w:space="0" w:color="000000"/>
              <w:bottom w:val="single" w:sz="2" w:space="0" w:color="000000"/>
            </w:tcBorders>
            <w:vAlign w:val="center"/>
          </w:tcPr>
          <w:p>
            <w:pPr>
              <w:pStyle w:val="Normal"/>
              <w:widowControl w:val="false"/>
              <w:tabs>
                <w:tab w:val="clear" w:pos="708"/>
              </w:tabs>
              <w:spacing w:before="0" w:after="200"/>
              <w:jc w:val="center"/>
              <w:rPr>
                <w:rFonts w:ascii="Calibri" w:hAnsi="Calibri"/>
                <w:sz w:val="22"/>
                <w:szCs w:val="22"/>
              </w:rPr>
            </w:pPr>
            <w:r>
              <w:rPr>
                <w:sz w:val="22"/>
                <w:szCs w:val="22"/>
              </w:rPr>
              <w:t>(-)</w:t>
            </w:r>
          </w:p>
        </w:tc>
        <w:tc>
          <w:tcPr>
            <w:tcW w:w="1854"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sz w:val="22"/>
                <w:szCs w:val="22"/>
              </w:rPr>
              <w:t xml:space="preserve"> </w:t>
            </w:r>
            <w:r>
              <w:rPr>
                <w:sz w:val="22"/>
                <w:szCs w:val="22"/>
              </w:rPr>
              <w:t>13.000,00 €</w:t>
            </w:r>
          </w:p>
        </w:tc>
      </w:tr>
      <w:tr>
        <w:trPr>
          <w:trHeight w:val="316" w:hRule="atLeast"/>
        </w:trPr>
        <w:tc>
          <w:tcPr>
            <w:tcW w:w="5937" w:type="dxa"/>
            <w:tcBorders>
              <w:left w:val="single" w:sz="2" w:space="0" w:color="000000"/>
              <w:bottom w:val="single" w:sz="2" w:space="0" w:color="000000"/>
            </w:tcBorders>
            <w:vAlign w:val="center"/>
          </w:tcPr>
          <w:p>
            <w:pPr>
              <w:pStyle w:val="Normal"/>
              <w:widowControl w:val="false"/>
              <w:tabs>
                <w:tab w:val="clear" w:pos="708"/>
              </w:tabs>
              <w:spacing w:before="0" w:after="200"/>
              <w:jc w:val="left"/>
              <w:rPr>
                <w:rFonts w:ascii="Calibri" w:hAnsi="Calibri"/>
                <w:sz w:val="22"/>
                <w:szCs w:val="22"/>
              </w:rPr>
            </w:pPr>
            <w:r>
              <w:rPr>
                <w:sz w:val="22"/>
                <w:szCs w:val="22"/>
              </w:rPr>
              <w:t>- Risorse vincolate in c/capitale nel bilancio</w:t>
            </w:r>
          </w:p>
        </w:tc>
        <w:tc>
          <w:tcPr>
            <w:tcW w:w="493" w:type="dxa"/>
            <w:tcBorders>
              <w:left w:val="single" w:sz="2" w:space="0" w:color="000000"/>
              <w:bottom w:val="single" w:sz="2" w:space="0" w:color="000000"/>
            </w:tcBorders>
            <w:vAlign w:val="center"/>
          </w:tcPr>
          <w:p>
            <w:pPr>
              <w:pStyle w:val="Normal"/>
              <w:widowControl w:val="false"/>
              <w:tabs>
                <w:tab w:val="clear" w:pos="708"/>
              </w:tabs>
              <w:spacing w:before="0" w:after="200"/>
              <w:jc w:val="center"/>
              <w:rPr>
                <w:rFonts w:ascii="Calibri" w:hAnsi="Calibri"/>
                <w:sz w:val="22"/>
                <w:szCs w:val="22"/>
              </w:rPr>
            </w:pPr>
            <w:r>
              <w:rPr>
                <w:sz w:val="22"/>
                <w:szCs w:val="22"/>
              </w:rPr>
              <w:t>(-)</w:t>
            </w:r>
          </w:p>
        </w:tc>
        <w:tc>
          <w:tcPr>
            <w:tcW w:w="1854"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sz w:val="22"/>
                <w:szCs w:val="22"/>
              </w:rPr>
              <w:t>607.377,55 €</w:t>
            </w:r>
          </w:p>
        </w:tc>
      </w:tr>
      <w:tr>
        <w:trPr>
          <w:trHeight w:val="292" w:hRule="atLeast"/>
        </w:trPr>
        <w:tc>
          <w:tcPr>
            <w:tcW w:w="5937"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b/>
                <w:sz w:val="22"/>
                <w:szCs w:val="22"/>
              </w:rPr>
              <w:t>Z/2) EQUILIBRIO DI BILANCIO IN C/CAPITALE</w:t>
            </w:r>
          </w:p>
        </w:tc>
        <w:tc>
          <w:tcPr>
            <w:tcW w:w="493"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Calibri" w:hAnsi="Calibri"/>
                <w:b/>
                <w:b/>
                <w:sz w:val="22"/>
                <w:szCs w:val="22"/>
              </w:rPr>
            </w:pPr>
            <w:r>
              <w:rPr>
                <w:b/>
                <w:sz w:val="22"/>
                <w:szCs w:val="22"/>
              </w:rPr>
            </w:r>
          </w:p>
        </w:tc>
        <w:tc>
          <w:tcPr>
            <w:tcW w:w="1854"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b/>
                <w:sz w:val="22"/>
                <w:szCs w:val="22"/>
              </w:rPr>
              <w:t>578.386,77 €</w:t>
            </w:r>
          </w:p>
        </w:tc>
      </w:tr>
      <w:tr>
        <w:trPr>
          <w:trHeight w:val="498" w:hRule="atLeast"/>
        </w:trPr>
        <w:tc>
          <w:tcPr>
            <w:tcW w:w="5937" w:type="dxa"/>
            <w:tcBorders>
              <w:left w:val="single" w:sz="2" w:space="0" w:color="000000"/>
              <w:bottom w:val="single" w:sz="2" w:space="0" w:color="000000"/>
            </w:tcBorders>
            <w:vAlign w:val="center"/>
          </w:tcPr>
          <w:p>
            <w:pPr>
              <w:pStyle w:val="Normal"/>
              <w:widowControl w:val="false"/>
              <w:tabs>
                <w:tab w:val="clear" w:pos="708"/>
              </w:tabs>
              <w:spacing w:before="0" w:after="200"/>
              <w:jc w:val="left"/>
              <w:rPr>
                <w:rFonts w:ascii="Calibri" w:hAnsi="Calibri"/>
                <w:sz w:val="22"/>
                <w:szCs w:val="22"/>
              </w:rPr>
            </w:pPr>
            <w:r>
              <w:rPr>
                <w:sz w:val="22"/>
                <w:szCs w:val="22"/>
              </w:rPr>
              <w:t>- Variazione accantonamenti in c/capitale effettuata in sede di rendiconto'(+)/(-)</w:t>
            </w:r>
          </w:p>
        </w:tc>
        <w:tc>
          <w:tcPr>
            <w:tcW w:w="493" w:type="dxa"/>
            <w:tcBorders>
              <w:left w:val="single" w:sz="2" w:space="0" w:color="000000"/>
              <w:bottom w:val="single" w:sz="2" w:space="0" w:color="000000"/>
            </w:tcBorders>
            <w:vAlign w:val="center"/>
          </w:tcPr>
          <w:p>
            <w:pPr>
              <w:pStyle w:val="Normal"/>
              <w:widowControl w:val="false"/>
              <w:tabs>
                <w:tab w:val="clear" w:pos="708"/>
              </w:tabs>
              <w:spacing w:before="0" w:after="200"/>
              <w:jc w:val="center"/>
              <w:rPr>
                <w:rFonts w:ascii="Calibri" w:hAnsi="Calibri"/>
                <w:sz w:val="22"/>
                <w:szCs w:val="22"/>
              </w:rPr>
            </w:pPr>
            <w:r>
              <w:rPr>
                <w:sz w:val="22"/>
                <w:szCs w:val="22"/>
              </w:rPr>
              <w:t>(-)</w:t>
            </w:r>
          </w:p>
        </w:tc>
        <w:tc>
          <w:tcPr>
            <w:tcW w:w="1854"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sz w:val="22"/>
                <w:szCs w:val="22"/>
              </w:rPr>
              <w:t>19.795,77 €</w:t>
            </w:r>
          </w:p>
        </w:tc>
      </w:tr>
      <w:tr>
        <w:trPr>
          <w:trHeight w:val="292" w:hRule="atLeast"/>
        </w:trPr>
        <w:tc>
          <w:tcPr>
            <w:tcW w:w="5937"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b/>
                <w:sz w:val="22"/>
                <w:szCs w:val="22"/>
              </w:rPr>
              <w:t>Z3) EQUILIBRIO COMPLESSIVO IN CAPITALE</w:t>
            </w:r>
          </w:p>
        </w:tc>
        <w:tc>
          <w:tcPr>
            <w:tcW w:w="493"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Calibri" w:hAnsi="Calibri"/>
                <w:b/>
                <w:b/>
                <w:sz w:val="22"/>
                <w:szCs w:val="22"/>
              </w:rPr>
            </w:pPr>
            <w:r>
              <w:rPr>
                <w:b/>
                <w:sz w:val="22"/>
                <w:szCs w:val="22"/>
              </w:rPr>
            </w:r>
          </w:p>
        </w:tc>
        <w:tc>
          <w:tcPr>
            <w:tcW w:w="1854"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b/>
                <w:sz w:val="22"/>
                <w:szCs w:val="22"/>
              </w:rPr>
              <w:t>558.591,00€</w:t>
            </w:r>
          </w:p>
        </w:tc>
      </w:tr>
      <w:tr>
        <w:trPr>
          <w:trHeight w:val="292" w:hRule="atLeast"/>
        </w:trPr>
        <w:tc>
          <w:tcPr>
            <w:tcW w:w="8284" w:type="dxa"/>
            <w:gridSpan w:val="3"/>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sz w:val="22"/>
                <w:szCs w:val="22"/>
              </w:rPr>
            </w:r>
          </w:p>
        </w:tc>
      </w:tr>
      <w:tr>
        <w:trPr>
          <w:trHeight w:val="316" w:hRule="atLeast"/>
        </w:trPr>
        <w:tc>
          <w:tcPr>
            <w:tcW w:w="5937"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b/>
                <w:sz w:val="22"/>
                <w:szCs w:val="22"/>
              </w:rPr>
              <w:t>W1) RISULTATO DI COMPETENZA</w:t>
            </w:r>
          </w:p>
        </w:tc>
        <w:tc>
          <w:tcPr>
            <w:tcW w:w="493"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Calibri" w:hAnsi="Calibri"/>
                <w:b/>
                <w:b/>
                <w:sz w:val="22"/>
                <w:szCs w:val="22"/>
              </w:rPr>
            </w:pPr>
            <w:r>
              <w:rPr>
                <w:b/>
                <w:sz w:val="22"/>
                <w:szCs w:val="22"/>
              </w:rPr>
            </w:r>
          </w:p>
        </w:tc>
        <w:tc>
          <w:tcPr>
            <w:tcW w:w="1854"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b/>
                <w:sz w:val="22"/>
                <w:szCs w:val="22"/>
              </w:rPr>
              <w:t>6.188.687,41 €</w:t>
            </w:r>
          </w:p>
        </w:tc>
      </w:tr>
      <w:tr>
        <w:trPr>
          <w:trHeight w:val="316" w:hRule="atLeast"/>
        </w:trPr>
        <w:tc>
          <w:tcPr>
            <w:tcW w:w="5937" w:type="dxa"/>
            <w:tcBorders>
              <w:left w:val="single" w:sz="2" w:space="0" w:color="000000"/>
              <w:bottom w:val="single" w:sz="2" w:space="0" w:color="000000"/>
            </w:tcBorders>
            <w:vAlign w:val="center"/>
          </w:tcPr>
          <w:p>
            <w:pPr>
              <w:pStyle w:val="Normal"/>
              <w:widowControl w:val="false"/>
              <w:tabs>
                <w:tab w:val="clear" w:pos="708"/>
              </w:tabs>
              <w:spacing w:before="0" w:after="200"/>
              <w:jc w:val="left"/>
              <w:rPr>
                <w:rFonts w:ascii="Calibri" w:hAnsi="Calibri"/>
                <w:sz w:val="22"/>
                <w:szCs w:val="22"/>
              </w:rPr>
            </w:pPr>
            <w:r>
              <w:rPr>
                <w:sz w:val="22"/>
                <w:szCs w:val="22"/>
              </w:rPr>
              <w:t>Risorse accantonate  stanziate nel bilancio dell'esercizio N</w:t>
            </w:r>
          </w:p>
        </w:tc>
        <w:tc>
          <w:tcPr>
            <w:tcW w:w="493" w:type="dxa"/>
            <w:tcBorders>
              <w:left w:val="single" w:sz="2" w:space="0" w:color="000000"/>
              <w:bottom w:val="single" w:sz="2" w:space="0" w:color="000000"/>
            </w:tcBorders>
            <w:vAlign w:val="center"/>
          </w:tcPr>
          <w:p>
            <w:pPr>
              <w:pStyle w:val="Normal"/>
              <w:widowControl w:val="false"/>
              <w:tabs>
                <w:tab w:val="clear" w:pos="708"/>
              </w:tabs>
              <w:spacing w:before="0" w:after="200"/>
              <w:jc w:val="center"/>
              <w:rPr>
                <w:rFonts w:ascii="Calibri" w:hAnsi="Calibri"/>
                <w:sz w:val="22"/>
                <w:szCs w:val="22"/>
              </w:rPr>
            </w:pPr>
            <w:r>
              <w:rPr>
                <w:sz w:val="22"/>
                <w:szCs w:val="22"/>
              </w:rPr>
            </w:r>
          </w:p>
        </w:tc>
        <w:tc>
          <w:tcPr>
            <w:tcW w:w="1854"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sz w:val="22"/>
                <w:szCs w:val="22"/>
              </w:rPr>
              <w:t xml:space="preserve"> </w:t>
            </w:r>
            <w:r>
              <w:rPr>
                <w:sz w:val="22"/>
                <w:szCs w:val="22"/>
              </w:rPr>
              <w:t>4.336.807,08€</w:t>
            </w:r>
          </w:p>
        </w:tc>
      </w:tr>
      <w:tr>
        <w:trPr>
          <w:trHeight w:val="316" w:hRule="atLeast"/>
        </w:trPr>
        <w:tc>
          <w:tcPr>
            <w:tcW w:w="5937" w:type="dxa"/>
            <w:tcBorders>
              <w:left w:val="single" w:sz="2" w:space="0" w:color="000000"/>
              <w:bottom w:val="single" w:sz="2" w:space="0" w:color="000000"/>
            </w:tcBorders>
            <w:vAlign w:val="center"/>
          </w:tcPr>
          <w:p>
            <w:pPr>
              <w:pStyle w:val="Normal"/>
              <w:widowControl w:val="false"/>
              <w:tabs>
                <w:tab w:val="clear" w:pos="708"/>
              </w:tabs>
              <w:spacing w:before="0" w:after="200"/>
              <w:jc w:val="left"/>
              <w:rPr>
                <w:rFonts w:ascii="Calibri" w:hAnsi="Calibri"/>
                <w:sz w:val="22"/>
                <w:szCs w:val="22"/>
              </w:rPr>
            </w:pPr>
            <w:r>
              <w:rPr>
                <w:sz w:val="22"/>
                <w:szCs w:val="22"/>
              </w:rPr>
              <w:t>Risorse vincolate nel bilancio</w:t>
            </w:r>
          </w:p>
        </w:tc>
        <w:tc>
          <w:tcPr>
            <w:tcW w:w="493" w:type="dxa"/>
            <w:tcBorders>
              <w:left w:val="single" w:sz="2" w:space="0" w:color="000000"/>
              <w:bottom w:val="single" w:sz="2" w:space="0" w:color="000000"/>
            </w:tcBorders>
            <w:vAlign w:val="center"/>
          </w:tcPr>
          <w:p>
            <w:pPr>
              <w:pStyle w:val="Normal"/>
              <w:widowControl w:val="false"/>
              <w:tabs>
                <w:tab w:val="clear" w:pos="708"/>
              </w:tabs>
              <w:spacing w:before="0" w:after="200"/>
              <w:jc w:val="center"/>
              <w:rPr>
                <w:rFonts w:ascii="Calibri" w:hAnsi="Calibri"/>
                <w:sz w:val="22"/>
                <w:szCs w:val="22"/>
              </w:rPr>
            </w:pPr>
            <w:r>
              <w:rPr>
                <w:sz w:val="22"/>
                <w:szCs w:val="22"/>
              </w:rPr>
            </w:r>
          </w:p>
        </w:tc>
        <w:tc>
          <w:tcPr>
            <w:tcW w:w="1854"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sz w:val="22"/>
                <w:szCs w:val="22"/>
              </w:rPr>
              <w:t>1.075.844,48 €</w:t>
            </w:r>
          </w:p>
        </w:tc>
      </w:tr>
      <w:tr>
        <w:trPr>
          <w:trHeight w:val="292" w:hRule="atLeast"/>
        </w:trPr>
        <w:tc>
          <w:tcPr>
            <w:tcW w:w="5937"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b/>
                <w:sz w:val="22"/>
                <w:szCs w:val="22"/>
              </w:rPr>
              <w:t>W2/EQUILIBRIO DI BILANCIO</w:t>
            </w:r>
          </w:p>
        </w:tc>
        <w:tc>
          <w:tcPr>
            <w:tcW w:w="493"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Calibri" w:hAnsi="Calibri"/>
                <w:b/>
                <w:b/>
                <w:sz w:val="22"/>
                <w:szCs w:val="22"/>
              </w:rPr>
            </w:pPr>
            <w:r>
              <w:rPr>
                <w:b/>
                <w:sz w:val="22"/>
                <w:szCs w:val="22"/>
              </w:rPr>
            </w:r>
          </w:p>
        </w:tc>
        <w:tc>
          <w:tcPr>
            <w:tcW w:w="1854"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b/>
                <w:sz w:val="22"/>
                <w:szCs w:val="22"/>
              </w:rPr>
              <w:t>776.035,85 €</w:t>
            </w:r>
          </w:p>
        </w:tc>
      </w:tr>
      <w:tr>
        <w:trPr>
          <w:trHeight w:val="316" w:hRule="atLeast"/>
        </w:trPr>
        <w:tc>
          <w:tcPr>
            <w:tcW w:w="5937" w:type="dxa"/>
            <w:tcBorders>
              <w:left w:val="single" w:sz="2" w:space="0" w:color="000000"/>
              <w:bottom w:val="single" w:sz="2" w:space="0" w:color="000000"/>
            </w:tcBorders>
            <w:vAlign w:val="center"/>
          </w:tcPr>
          <w:p>
            <w:pPr>
              <w:pStyle w:val="Normal"/>
              <w:widowControl w:val="false"/>
              <w:tabs>
                <w:tab w:val="clear" w:pos="708"/>
              </w:tabs>
              <w:spacing w:before="0" w:after="200"/>
              <w:jc w:val="left"/>
              <w:rPr>
                <w:rFonts w:ascii="Calibri" w:hAnsi="Calibri"/>
                <w:sz w:val="22"/>
                <w:szCs w:val="22"/>
              </w:rPr>
            </w:pPr>
            <w:r>
              <w:rPr>
                <w:sz w:val="22"/>
                <w:szCs w:val="22"/>
              </w:rPr>
              <w:t>Variazione accantonamenti effettuata in sede di rendiconto</w:t>
            </w:r>
          </w:p>
        </w:tc>
        <w:tc>
          <w:tcPr>
            <w:tcW w:w="493" w:type="dxa"/>
            <w:tcBorders>
              <w:left w:val="single" w:sz="2" w:space="0" w:color="000000"/>
              <w:bottom w:val="single" w:sz="2" w:space="0" w:color="000000"/>
            </w:tcBorders>
            <w:vAlign w:val="center"/>
          </w:tcPr>
          <w:p>
            <w:pPr>
              <w:pStyle w:val="Normal"/>
              <w:widowControl w:val="false"/>
              <w:tabs>
                <w:tab w:val="clear" w:pos="708"/>
              </w:tabs>
              <w:spacing w:before="0" w:after="200"/>
              <w:jc w:val="center"/>
              <w:rPr>
                <w:rFonts w:ascii="Calibri" w:hAnsi="Calibri"/>
                <w:sz w:val="22"/>
                <w:szCs w:val="22"/>
              </w:rPr>
            </w:pPr>
            <w:r>
              <w:rPr>
                <w:sz w:val="22"/>
                <w:szCs w:val="22"/>
              </w:rPr>
            </w:r>
          </w:p>
        </w:tc>
        <w:tc>
          <w:tcPr>
            <w:tcW w:w="1854"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sz w:val="22"/>
                <w:szCs w:val="22"/>
              </w:rPr>
              <w:t xml:space="preserve"> </w:t>
            </w:r>
            <w:r>
              <w:rPr>
                <w:sz w:val="22"/>
                <w:szCs w:val="22"/>
              </w:rPr>
              <w:t>-1.005.254,97 €</w:t>
            </w:r>
          </w:p>
        </w:tc>
      </w:tr>
      <w:tr>
        <w:trPr>
          <w:trHeight w:val="292" w:hRule="atLeast"/>
        </w:trPr>
        <w:tc>
          <w:tcPr>
            <w:tcW w:w="5937"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b/>
                <w:sz w:val="22"/>
                <w:szCs w:val="22"/>
              </w:rPr>
              <w:t>W3/EQUILIBRIO COMPLESSIVO</w:t>
            </w:r>
          </w:p>
        </w:tc>
        <w:tc>
          <w:tcPr>
            <w:tcW w:w="493"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Calibri" w:hAnsi="Calibri"/>
                <w:b/>
                <w:b/>
                <w:sz w:val="22"/>
                <w:szCs w:val="22"/>
              </w:rPr>
            </w:pPr>
            <w:r>
              <w:rPr>
                <w:b/>
                <w:sz w:val="22"/>
                <w:szCs w:val="22"/>
              </w:rPr>
            </w:r>
          </w:p>
        </w:tc>
        <w:tc>
          <w:tcPr>
            <w:tcW w:w="1854"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Calibri" w:hAnsi="Calibri"/>
                <w:sz w:val="22"/>
                <w:szCs w:val="22"/>
              </w:rPr>
            </w:pPr>
            <w:r>
              <w:rPr>
                <w:b/>
                <w:sz w:val="22"/>
                <w:szCs w:val="22"/>
              </w:rPr>
              <w:t>1.781.290,82 €</w:t>
            </w:r>
          </w:p>
        </w:tc>
      </w:tr>
    </w:tbl>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L’Organo di revisione ha verificato che l’Ente</w:t>
      </w:r>
      <w:r>
        <w:rPr>
          <w:rFonts w:eastAsia="Times New Roman" w:cs="Arial" w:ascii="Arial" w:hAnsi="Arial"/>
          <w:color w:val="0070C0"/>
          <w:szCs w:val="22"/>
          <w:lang w:eastAsia="it-IT"/>
        </w:rPr>
        <w:t xml:space="preserve"> </w:t>
      </w:r>
      <w:r>
        <w:rPr>
          <w:rFonts w:eastAsia="Times New Roman" w:cs="Arial" w:ascii="Arial" w:hAnsi="Arial"/>
          <w:b/>
          <w:i/>
          <w:color w:val="auto"/>
          <w:szCs w:val="22"/>
          <w:lang w:eastAsia="it-IT"/>
        </w:rPr>
        <w:t>ha</w:t>
      </w:r>
      <w:r>
        <w:rPr>
          <w:rFonts w:eastAsia="Times New Roman" w:cs="Arial" w:ascii="Arial" w:hAnsi="Arial"/>
          <w:color w:val="auto"/>
          <w:szCs w:val="22"/>
          <w:lang w:eastAsia="it-IT"/>
        </w:rPr>
        <w:t xml:space="preserve"> conseguito un risultato di competenza dell’esercizio non negativo, nel rispetto delle disposizioni di cui ai commi 820 e 821 del citato art. 1 della L. 145/2018 in applicazione di quanto previsto dalla Circolare MEF RGS n° 3/2019 del 14 febbraio 2019 e successive indicazioni.</w:t>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Come desumibile dal prospetto della verifica degli equilibri allegato al rendiconto di gestione (allegato 10 del decreto legislativo 23 giugno 2011, n. 118 e successive modifiche), gli esiti sono stati i seguenti:</w:t>
      </w:r>
    </w:p>
    <w:p>
      <w:pPr>
        <w:pStyle w:val="Normal"/>
        <w:widowControl w:val="false"/>
        <w:numPr>
          <w:ilvl w:val="0"/>
          <w:numId w:val="8"/>
        </w:numPr>
        <w:suppressAutoHyphens w:val="true"/>
        <w:overflowPunct w:val="true"/>
        <w:spacing w:lineRule="auto" w:line="240" w:before="0" w:after="120"/>
        <w:ind w:left="2" w:hanging="2"/>
        <w:jc w:val="left"/>
        <w:textAlignment w:val="top"/>
        <w:rPr>
          <w:rFonts w:ascii="Arial" w:hAnsi="Arial" w:eastAsia="Times New Roman" w:cs="Arial"/>
          <w:color w:val="auto"/>
          <w:szCs w:val="22"/>
          <w:lang w:eastAsia="it-IT"/>
        </w:rPr>
      </w:pPr>
      <w:r>
        <w:rPr>
          <w:rFonts w:eastAsia="Times New Roman" w:cs="Arial" w:ascii="Arial" w:hAnsi="Arial"/>
          <w:color w:val="auto"/>
          <w:szCs w:val="22"/>
          <w:lang w:eastAsia="it-IT"/>
        </w:rPr>
        <w:t xml:space="preserve">W1 (risultato di competenza): € </w:t>
      </w:r>
      <w:r>
        <w:rPr>
          <w:rFonts w:eastAsia="Times New Roman" w:cs="Arial"/>
          <w:b/>
          <w:color w:val="auto"/>
          <w:sz w:val="22"/>
          <w:szCs w:val="22"/>
          <w:lang w:eastAsia="it-IT"/>
        </w:rPr>
        <w:t>6.188.687,41</w:t>
      </w:r>
    </w:p>
    <w:p>
      <w:pPr>
        <w:pStyle w:val="Normal"/>
        <w:widowControl w:val="false"/>
        <w:numPr>
          <w:ilvl w:val="0"/>
          <w:numId w:val="8"/>
        </w:numPr>
        <w:suppressAutoHyphens w:val="true"/>
        <w:overflowPunct w:val="true"/>
        <w:spacing w:lineRule="auto" w:line="240" w:before="0" w:after="120"/>
        <w:ind w:left="2" w:hanging="2"/>
        <w:jc w:val="left"/>
        <w:textAlignment w:val="top"/>
        <w:rPr>
          <w:rFonts w:ascii="Arial" w:hAnsi="Arial" w:eastAsia="Times New Roman" w:cs="Arial"/>
          <w:color w:val="auto"/>
          <w:szCs w:val="22"/>
          <w:lang w:eastAsia="it-IT"/>
        </w:rPr>
      </w:pPr>
      <w:r>
        <w:rPr>
          <w:rFonts w:eastAsia="Times New Roman" w:cs="Arial" w:ascii="Arial" w:hAnsi="Arial"/>
          <w:color w:val="auto"/>
          <w:szCs w:val="22"/>
          <w:lang w:eastAsia="it-IT"/>
        </w:rPr>
        <w:t xml:space="preserve">W2 (equilibrio di bilancio): € </w:t>
      </w:r>
      <w:r>
        <w:rPr>
          <w:rFonts w:eastAsia="Times New Roman" w:cs="Arial"/>
          <w:b/>
          <w:color w:val="auto"/>
          <w:sz w:val="22"/>
          <w:szCs w:val="22"/>
          <w:lang w:eastAsia="it-IT"/>
        </w:rPr>
        <w:t>776.035,85</w:t>
      </w:r>
    </w:p>
    <w:p>
      <w:pPr>
        <w:pStyle w:val="Normal"/>
        <w:widowControl w:val="false"/>
        <w:numPr>
          <w:ilvl w:val="0"/>
          <w:numId w:val="8"/>
        </w:numPr>
        <w:suppressAutoHyphens w:val="true"/>
        <w:overflowPunct w:val="true"/>
        <w:spacing w:lineRule="auto" w:line="240" w:before="0" w:after="120"/>
        <w:ind w:left="2" w:hanging="2"/>
        <w:jc w:val="left"/>
        <w:textAlignment w:val="top"/>
        <w:rPr>
          <w:rFonts w:ascii="Arial" w:hAnsi="Arial" w:eastAsia="Times New Roman" w:cs="Arial"/>
          <w:color w:val="auto"/>
          <w:szCs w:val="22"/>
          <w:lang w:eastAsia="it-IT"/>
        </w:rPr>
      </w:pPr>
      <w:r>
        <w:rPr>
          <w:rFonts w:eastAsia="Times New Roman" w:cs="Arial" w:ascii="Arial" w:hAnsi="Arial"/>
          <w:color w:val="auto"/>
          <w:szCs w:val="22"/>
          <w:lang w:eastAsia="it-IT"/>
        </w:rPr>
        <w:t xml:space="preserve">W3 (equilibrio complessivo): € </w:t>
      </w:r>
      <w:r>
        <w:rPr>
          <w:rFonts w:eastAsia="Times New Roman" w:cs="Arial"/>
          <w:b/>
          <w:color w:val="auto"/>
          <w:sz w:val="22"/>
          <w:szCs w:val="22"/>
          <w:lang w:eastAsia="it-IT"/>
        </w:rPr>
        <w:t>1.781.290,82</w:t>
      </w:r>
    </w:p>
    <w:p>
      <w:pPr>
        <w:pStyle w:val="Titolo2"/>
        <w:numPr>
          <w:ilvl w:val="1"/>
          <w:numId w:val="67"/>
        </w:numPr>
        <w:ind w:left="851" w:hanging="491"/>
        <w:rPr/>
      </w:pPr>
      <w:bookmarkStart w:id="20" w:name="_Toc192666973"/>
      <w:bookmarkStart w:id="21" w:name="_Toc130060184"/>
      <w:bookmarkStart w:id="22" w:name="_Toc130056241"/>
      <w:bookmarkStart w:id="23" w:name="_Toc127770141"/>
      <w:bookmarkStart w:id="24" w:name="_Toc98417443"/>
      <w:bookmarkStart w:id="25" w:name="Copia_di__Toc130056240_1"/>
      <w:bookmarkStart w:id="26" w:name="Copia_di__Toc127770139_1"/>
      <w:bookmarkStart w:id="27" w:name="Copia_di__Toc98417441_1"/>
      <w:bookmarkStart w:id="28" w:name="_MON_1456158071"/>
      <w:bookmarkStart w:id="29" w:name="_MON_1486893043"/>
      <w:bookmarkEnd w:id="25"/>
      <w:bookmarkEnd w:id="26"/>
      <w:bookmarkEnd w:id="27"/>
      <w:bookmarkEnd w:id="28"/>
      <w:bookmarkEnd w:id="29"/>
      <w:r>
        <w:rPr/>
        <w:t>Evoluzione del Fondo pluriennale vincolato (FPV) nel corso dell’esercizio 202</w:t>
      </w:r>
      <w:bookmarkEnd w:id="21"/>
      <w:bookmarkEnd w:id="22"/>
      <w:bookmarkEnd w:id="23"/>
      <w:bookmarkEnd w:id="24"/>
      <w:r>
        <w:rPr/>
        <w:t>4</w:t>
      </w:r>
      <w:bookmarkEnd w:id="20"/>
    </w:p>
    <w:p>
      <w:pPr>
        <w:pStyle w:val="Normal"/>
        <w:widowControl w:val="false"/>
        <w:overflowPunct w:val="true"/>
        <w:spacing w:lineRule="auto" w:line="240" w:before="0" w:after="120"/>
        <w:textAlignment w:val="baseline"/>
        <w:rPr>
          <w:rFonts w:ascii="Arial" w:hAnsi="Arial" w:eastAsia="Times New Roman" w:cs="Arial"/>
          <w:color w:val="000000"/>
          <w:szCs w:val="22"/>
          <w:lang w:eastAsia="it-IT"/>
        </w:rPr>
      </w:pPr>
      <w:r>
        <w:rPr>
          <w:rFonts w:eastAsia="Arial Unicode MS" w:cs="Arial" w:ascii="Arial" w:hAnsi="Arial"/>
          <w:color w:val="auto"/>
          <w:szCs w:val="22"/>
          <w:lang w:eastAsia="it-IT"/>
        </w:rPr>
        <w:t xml:space="preserve">L’Organo di revisione ha verificato con la tecnica del campionamento, come in sede di parere per il riaccertamento ordinario dei residui – verbale n. 6 del 14.03.2025: </w:t>
      </w:r>
      <w:r>
        <w:rPr>
          <w:rFonts w:eastAsia="Times New Roman" w:cs="Arial" w:ascii="Arial" w:hAnsi="Arial"/>
          <w:color w:val="auto"/>
          <w:position w:val="-1"/>
          <w:szCs w:val="22"/>
          <w:lang w:eastAsia="it-IT"/>
        </w:rPr>
        <w:t xml:space="preserve"> </w:t>
      </w:r>
    </w:p>
    <w:p>
      <w:pPr>
        <w:pStyle w:val="Normal"/>
        <w:widowControl w:val="false"/>
        <w:numPr>
          <w:ilvl w:val="0"/>
          <w:numId w:val="68"/>
        </w:numPr>
        <w:suppressAutoHyphens w:val="true"/>
        <w:overflowPunct w:val="true"/>
        <w:spacing w:lineRule="auto" w:line="240" w:before="0" w:after="120"/>
        <w:ind w:left="2" w:hanging="2"/>
        <w:textAlignment w:val="top"/>
        <w:rPr>
          <w:rFonts w:ascii="Arial" w:hAnsi="Arial" w:eastAsia="Times New Roman" w:cs="Arial"/>
          <w:color w:val="auto"/>
          <w:szCs w:val="22"/>
          <w:lang w:eastAsia="it-IT"/>
        </w:rPr>
      </w:pPr>
      <w:r>
        <w:rPr>
          <w:rFonts w:eastAsia="Times New Roman" w:cs="Arial" w:ascii="Arial" w:hAnsi="Arial"/>
          <w:color w:val="auto"/>
          <w:szCs w:val="22"/>
          <w:lang w:eastAsia="it-IT"/>
        </w:rPr>
        <w:t>la fonte di finanziamento del FPV di parte corrente, di parte capitale e delle partite finanziarie;</w:t>
      </w:r>
    </w:p>
    <w:p>
      <w:pPr>
        <w:pStyle w:val="Normal"/>
        <w:widowControl w:val="false"/>
        <w:numPr>
          <w:ilvl w:val="0"/>
          <w:numId w:val="69"/>
        </w:numPr>
        <w:suppressAutoHyphens w:val="true"/>
        <w:overflowPunct w:val="true"/>
        <w:spacing w:lineRule="auto" w:line="240" w:before="0" w:after="120"/>
        <w:ind w:left="2" w:hanging="2"/>
        <w:textAlignment w:val="top"/>
        <w:rPr>
          <w:rFonts w:ascii="Arial" w:hAnsi="Arial" w:eastAsia="Times New Roman" w:cs="Arial"/>
          <w:color w:val="auto"/>
          <w:szCs w:val="22"/>
          <w:lang w:eastAsia="it-IT"/>
        </w:rPr>
      </w:pPr>
      <w:r>
        <w:rPr>
          <w:rFonts w:eastAsia="Times New Roman" w:cs="Arial" w:ascii="Arial" w:hAnsi="Arial"/>
          <w:color w:val="auto"/>
          <w:szCs w:val="22"/>
          <w:lang w:eastAsia="it-IT"/>
        </w:rPr>
        <w:t>la sussistenza dell’accertamento di entrata relativo a obbligazioni attive scadute ed esigibili che contribuiscono alla formazione del FPV;</w:t>
      </w:r>
    </w:p>
    <w:p>
      <w:pPr>
        <w:pStyle w:val="Normal"/>
        <w:widowControl w:val="false"/>
        <w:numPr>
          <w:ilvl w:val="0"/>
          <w:numId w:val="70"/>
        </w:numPr>
        <w:suppressAutoHyphens w:val="true"/>
        <w:overflowPunct w:val="true"/>
        <w:spacing w:lineRule="auto" w:line="240" w:before="0" w:after="120"/>
        <w:ind w:left="2" w:hanging="2"/>
        <w:textAlignment w:val="top"/>
        <w:rPr>
          <w:rFonts w:ascii="Arial" w:hAnsi="Arial" w:eastAsia="Times New Roman" w:cs="Arial"/>
          <w:color w:val="auto"/>
          <w:szCs w:val="22"/>
          <w:lang w:eastAsia="it-IT"/>
        </w:rPr>
      </w:pPr>
      <w:r>
        <w:rPr>
          <w:rFonts w:eastAsia="Times New Roman" w:cs="Arial" w:ascii="Arial" w:hAnsi="Arial"/>
          <w:color w:val="auto"/>
          <w:szCs w:val="22"/>
          <w:lang w:eastAsia="it-IT"/>
        </w:rPr>
        <w:t>la costituzione del FPV in presenza di obbligazioni giuridiche passive perfezionate;</w:t>
      </w:r>
    </w:p>
    <w:p>
      <w:pPr>
        <w:pStyle w:val="Normal"/>
        <w:widowControl w:val="false"/>
        <w:numPr>
          <w:ilvl w:val="0"/>
          <w:numId w:val="71"/>
        </w:numPr>
        <w:suppressAutoHyphens w:val="true"/>
        <w:overflowPunct w:val="true"/>
        <w:spacing w:lineRule="auto" w:line="240" w:before="0" w:after="120"/>
        <w:ind w:left="2" w:hanging="2"/>
        <w:textAlignment w:val="top"/>
        <w:rPr>
          <w:rFonts w:ascii="Arial" w:hAnsi="Arial" w:eastAsia="Times New Roman" w:cs="Arial"/>
          <w:color w:val="auto"/>
          <w:szCs w:val="22"/>
          <w:lang w:eastAsia="it-IT"/>
        </w:rPr>
      </w:pPr>
      <w:r>
        <w:rPr>
          <w:rFonts w:eastAsia="Times New Roman" w:cs="Arial" w:ascii="Arial" w:hAnsi="Arial"/>
          <w:color w:val="auto"/>
          <w:szCs w:val="22"/>
          <w:lang w:eastAsia="it-IT"/>
        </w:rPr>
        <w:t>la corretta applicazione dell’art.183, comma 3 del TUEL in ordine al FPV riferito ai lavori pubblici alla luce anche delle modifiche al punto 5.4.9 del principio 4/2 introdotte dal DM 10/10/2024;</w:t>
      </w:r>
    </w:p>
    <w:p>
      <w:pPr>
        <w:pStyle w:val="Normal"/>
        <w:widowControl w:val="false"/>
        <w:numPr>
          <w:ilvl w:val="0"/>
          <w:numId w:val="72"/>
        </w:numPr>
        <w:suppressAutoHyphens w:val="true"/>
        <w:overflowPunct w:val="true"/>
        <w:spacing w:lineRule="auto" w:line="240" w:before="0" w:after="120"/>
        <w:ind w:left="2" w:hanging="2"/>
        <w:textAlignment w:val="top"/>
        <w:rPr>
          <w:rFonts w:ascii="Arial" w:hAnsi="Arial" w:eastAsia="Times New Roman" w:cs="Arial"/>
          <w:color w:val="auto"/>
          <w:szCs w:val="22"/>
          <w:lang w:eastAsia="it-IT"/>
        </w:rPr>
      </w:pPr>
      <w:r>
        <w:rPr>
          <w:rFonts w:eastAsia="Times New Roman" w:cs="Arial" w:ascii="Arial" w:hAnsi="Arial"/>
          <w:color w:val="auto"/>
          <w:szCs w:val="22"/>
          <w:lang w:eastAsia="it-IT"/>
        </w:rPr>
        <w:t>la formulazione di adeguati cronoprogrammi di spesa in ordine alla imputazione e re-imputazione di impegni e di residui passivi coperti dal FPV.</w:t>
      </w:r>
    </w:p>
    <w:p>
      <w:pPr>
        <w:pStyle w:val="Normal"/>
        <w:widowControl w:val="false"/>
        <w:suppressAutoHyphens w:val="true"/>
        <w:overflowPunct w:val="true"/>
        <w:spacing w:lineRule="auto" w:line="240" w:before="0" w:after="120"/>
        <w:ind w:left="2" w:hanging="0"/>
        <w:textAlignment w:val="top"/>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spacing w:lineRule="auto" w:line="276"/>
        <w:ind w:left="0" w:right="0" w:hanging="0"/>
        <w:jc w:val="both"/>
        <w:rPr>
          <w:rFonts w:ascii="Arial" w:hAnsi="Arial"/>
          <w:color w:val="auto"/>
          <w:sz w:val="22"/>
          <w:szCs w:val="22"/>
        </w:rPr>
      </w:pPr>
      <w:r>
        <w:rPr>
          <w:rFonts w:ascii="Arial" w:hAnsi="Arial"/>
          <w:color w:val="auto"/>
          <w:sz w:val="22"/>
          <w:szCs w:val="22"/>
        </w:rPr>
        <w:t>Il fondo pluriennale vincolato, distintamente per la parte corrente e per la parte capitale risulta complessivamente così costituito:</w:t>
      </w:r>
    </w:p>
    <w:p>
      <w:pPr>
        <w:pStyle w:val="Normal"/>
        <w:jc w:val="both"/>
        <w:rPr>
          <w:rFonts w:ascii="Arial" w:hAnsi="Arial"/>
          <w:b/>
          <w:b/>
          <w:strike w:val="false"/>
          <w:dstrike w:val="false"/>
          <w:color w:val="auto"/>
          <w:sz w:val="22"/>
          <w:szCs w:val="22"/>
          <w:u w:val="single"/>
        </w:rPr>
      </w:pPr>
      <w:r>
        <w:rPr>
          <w:rFonts w:ascii="Arial" w:hAnsi="Arial"/>
          <w:b/>
          <w:strike w:val="false"/>
          <w:dstrike w:val="false"/>
          <w:color w:val="auto"/>
          <w:sz w:val="22"/>
          <w:szCs w:val="22"/>
          <w:u w:val="single"/>
        </w:rPr>
        <w:t>PARTE CORRENTE</w:t>
      </w:r>
    </w:p>
    <w:p>
      <w:pPr>
        <w:pStyle w:val="Normal"/>
        <w:jc w:val="both"/>
        <w:rPr>
          <w:rFonts w:ascii="Arial" w:hAnsi="Arial"/>
          <w:color w:val="auto"/>
          <w:sz w:val="22"/>
          <w:szCs w:val="22"/>
        </w:rPr>
      </w:pPr>
      <w:r>
        <w:rPr>
          <w:rFonts w:ascii="Arial" w:hAnsi="Arial"/>
          <w:color w:val="auto"/>
          <w:sz w:val="22"/>
          <w:szCs w:val="22"/>
        </w:rPr>
        <w:t>Impegni al 31/12/2024 cancellati e reimputati: Euro 634.512,80;</w:t>
      </w:r>
    </w:p>
    <w:p>
      <w:pPr>
        <w:pStyle w:val="Normal"/>
        <w:jc w:val="both"/>
        <w:rPr>
          <w:rFonts w:ascii="Arial" w:hAnsi="Arial"/>
          <w:color w:val="auto"/>
          <w:sz w:val="22"/>
          <w:szCs w:val="22"/>
        </w:rPr>
      </w:pPr>
      <w:r>
        <w:rPr>
          <w:rFonts w:ascii="Arial" w:hAnsi="Arial"/>
          <w:color w:val="auto"/>
          <w:sz w:val="22"/>
          <w:szCs w:val="22"/>
        </w:rPr>
        <w:t>Accertamenti al 31/12/2024 cancellati e reimputati: Euro 65.811,68;</w:t>
      </w:r>
    </w:p>
    <w:p>
      <w:pPr>
        <w:pStyle w:val="Normal"/>
        <w:jc w:val="both"/>
        <w:rPr>
          <w:rFonts w:ascii="Arial" w:hAnsi="Arial"/>
          <w:b/>
          <w:b/>
          <w:color w:val="auto"/>
          <w:sz w:val="22"/>
          <w:szCs w:val="22"/>
        </w:rPr>
      </w:pPr>
      <w:r>
        <w:rPr>
          <w:rFonts w:ascii="Arial" w:hAnsi="Arial"/>
          <w:b/>
          <w:color w:val="auto"/>
          <w:sz w:val="22"/>
          <w:szCs w:val="22"/>
        </w:rPr>
        <w:t>Differenza = incremento FPV di parte corrente 2024: Euro 568.701,12;</w:t>
      </w:r>
    </w:p>
    <w:p>
      <w:pPr>
        <w:pStyle w:val="Normal"/>
        <w:jc w:val="both"/>
        <w:rPr>
          <w:rFonts w:ascii="Arial" w:hAnsi="Arial"/>
          <w:color w:val="auto"/>
          <w:sz w:val="22"/>
          <w:szCs w:val="22"/>
        </w:rPr>
      </w:pPr>
      <w:r>
        <w:rPr>
          <w:rFonts w:ascii="Arial" w:hAnsi="Arial"/>
          <w:color w:val="auto"/>
          <w:sz w:val="22"/>
          <w:szCs w:val="22"/>
        </w:rPr>
      </w:r>
    </w:p>
    <w:p>
      <w:pPr>
        <w:pStyle w:val="Normal"/>
        <w:jc w:val="both"/>
        <w:rPr>
          <w:rFonts w:ascii="Arial" w:hAnsi="Arial"/>
          <w:color w:val="auto"/>
          <w:sz w:val="22"/>
          <w:szCs w:val="22"/>
        </w:rPr>
      </w:pPr>
      <w:r>
        <w:rPr>
          <w:rFonts w:ascii="Arial" w:hAnsi="Arial"/>
          <w:color w:val="auto"/>
          <w:sz w:val="22"/>
          <w:szCs w:val="22"/>
        </w:rPr>
        <w:t>FPV di parte corrente già costituito: Euro 172.650,00;</w:t>
      </w:r>
    </w:p>
    <w:p>
      <w:pPr>
        <w:pStyle w:val="Normal"/>
        <w:jc w:val="both"/>
        <w:rPr>
          <w:rFonts w:ascii="Arial" w:hAnsi="Arial"/>
          <w:b/>
          <w:b/>
          <w:color w:val="auto"/>
          <w:sz w:val="22"/>
          <w:szCs w:val="22"/>
        </w:rPr>
      </w:pPr>
      <w:r>
        <w:rPr>
          <w:rFonts w:ascii="Arial" w:hAnsi="Arial"/>
          <w:b/>
          <w:color w:val="auto"/>
          <w:sz w:val="22"/>
          <w:szCs w:val="22"/>
        </w:rPr>
        <w:t>FPV di parte corrente complessivo al 31/12/2024: Euro 741.351,12;</w:t>
      </w:r>
    </w:p>
    <w:p>
      <w:pPr>
        <w:pStyle w:val="Normal"/>
        <w:jc w:val="both"/>
        <w:rPr>
          <w:rFonts w:ascii="Arial" w:hAnsi="Arial"/>
          <w:color w:val="auto"/>
          <w:sz w:val="22"/>
          <w:szCs w:val="22"/>
          <w:u w:val="single"/>
        </w:rPr>
      </w:pPr>
      <w:r>
        <w:rPr>
          <w:rFonts w:ascii="Arial" w:hAnsi="Arial"/>
          <w:b/>
          <w:color w:val="auto"/>
          <w:sz w:val="22"/>
          <w:szCs w:val="22"/>
          <w:u w:val="single"/>
        </w:rPr>
        <w:t>PARTE CAPITALE</w:t>
      </w:r>
    </w:p>
    <w:p>
      <w:pPr>
        <w:pStyle w:val="Normal"/>
        <w:jc w:val="both"/>
        <w:rPr>
          <w:rFonts w:ascii="Arial" w:hAnsi="Arial"/>
          <w:color w:val="auto"/>
          <w:sz w:val="22"/>
          <w:szCs w:val="22"/>
        </w:rPr>
      </w:pPr>
      <w:r>
        <w:rPr>
          <w:rFonts w:ascii="Arial" w:hAnsi="Arial"/>
          <w:color w:val="auto"/>
          <w:sz w:val="22"/>
          <w:szCs w:val="22"/>
        </w:rPr>
        <w:t>Impegni al 31/12/2024 cancellati e reimputati: Euro 2.369.625,14;</w:t>
      </w:r>
    </w:p>
    <w:p>
      <w:pPr>
        <w:pStyle w:val="Normal"/>
        <w:jc w:val="both"/>
        <w:rPr>
          <w:rFonts w:ascii="Arial" w:hAnsi="Arial"/>
          <w:color w:val="auto"/>
          <w:sz w:val="22"/>
          <w:szCs w:val="22"/>
        </w:rPr>
      </w:pPr>
      <w:r>
        <w:rPr>
          <w:rFonts w:ascii="Arial" w:hAnsi="Arial"/>
          <w:color w:val="auto"/>
          <w:sz w:val="22"/>
          <w:szCs w:val="22"/>
        </w:rPr>
        <w:t>Accertamenti al 31/12/2024 cancellati e reimputati: Euro 705.324,99;</w:t>
      </w:r>
    </w:p>
    <w:p>
      <w:pPr>
        <w:pStyle w:val="Normal"/>
        <w:spacing w:before="0" w:after="227"/>
        <w:jc w:val="both"/>
        <w:rPr>
          <w:rFonts w:ascii="Arial" w:hAnsi="Arial" w:cs="Verdana"/>
          <w:b/>
          <w:b/>
          <w:color w:val="auto"/>
          <w:sz w:val="22"/>
          <w:szCs w:val="22"/>
        </w:rPr>
      </w:pPr>
      <w:r>
        <w:rPr>
          <w:rFonts w:cs="Verdana" w:ascii="Arial" w:hAnsi="Arial"/>
          <w:b/>
          <w:color w:val="auto"/>
          <w:sz w:val="22"/>
          <w:szCs w:val="22"/>
        </w:rPr>
        <w:t>Differenza = incremento FPV di parte capitale 2024: Euro 1.664.300,15;</w:t>
      </w:r>
    </w:p>
    <w:p>
      <w:pPr>
        <w:pStyle w:val="Normal"/>
        <w:spacing w:before="0" w:after="56"/>
        <w:jc w:val="both"/>
        <w:rPr>
          <w:rFonts w:ascii="Arial" w:hAnsi="Arial" w:eastAsia="Verdana"/>
          <w:b w:val="false"/>
          <w:b w:val="false"/>
          <w:bCs w:val="false"/>
          <w:i w:val="false"/>
          <w:i w:val="false"/>
          <w:iCs w:val="false"/>
          <w:strike w:val="false"/>
          <w:dstrike w:val="false"/>
          <w:color w:val="auto"/>
          <w:sz w:val="22"/>
          <w:szCs w:val="22"/>
          <w:u w:val="none"/>
        </w:rPr>
      </w:pPr>
      <w:r>
        <w:rPr>
          <w:rFonts w:eastAsia="Verdana" w:ascii="Arial" w:hAnsi="Arial"/>
          <w:b w:val="false"/>
          <w:bCs w:val="false"/>
          <w:i w:val="false"/>
          <w:iCs w:val="false"/>
          <w:strike w:val="false"/>
          <w:dstrike w:val="false"/>
          <w:color w:val="auto"/>
          <w:sz w:val="22"/>
          <w:szCs w:val="22"/>
          <w:u w:val="none"/>
        </w:rPr>
        <w:t>FPV di parte capitale già costituito: Euro 1.468.811,27;</w:t>
      </w:r>
    </w:p>
    <w:p>
      <w:pPr>
        <w:pStyle w:val="Normal"/>
        <w:spacing w:before="0" w:after="227"/>
        <w:jc w:val="both"/>
        <w:rPr>
          <w:rFonts w:ascii="Arial" w:hAnsi="Arial"/>
          <w:b/>
          <w:b/>
          <w:color w:val="auto"/>
          <w:sz w:val="22"/>
          <w:szCs w:val="22"/>
        </w:rPr>
      </w:pPr>
      <w:r>
        <w:rPr>
          <w:rFonts w:ascii="Arial" w:hAnsi="Arial"/>
          <w:b/>
          <w:color w:val="auto"/>
          <w:sz w:val="22"/>
          <w:szCs w:val="22"/>
        </w:rPr>
        <w:t>FPV di parte capitale complessivo al 31/12/2024: Euro 3.133.111,42</w:t>
      </w:r>
    </w:p>
    <w:p>
      <w:pPr>
        <w:pStyle w:val="Normal"/>
        <w:jc w:val="both"/>
        <w:rPr>
          <w:rFonts w:ascii="Arial" w:hAnsi="Arial"/>
          <w:color w:val="auto"/>
          <w:sz w:val="22"/>
          <w:szCs w:val="22"/>
        </w:rPr>
      </w:pPr>
      <w:r>
        <w:rPr>
          <w:rFonts w:ascii="Arial" w:hAnsi="Arial"/>
          <w:color w:val="auto"/>
          <w:sz w:val="22"/>
          <w:szCs w:val="22"/>
        </w:rPr>
      </w:r>
    </w:p>
    <w:p>
      <w:pPr>
        <w:pStyle w:val="Normal"/>
        <w:jc w:val="both"/>
        <w:rPr>
          <w:rFonts w:ascii="Arial" w:hAnsi="Arial"/>
          <w:b/>
          <w:b/>
          <w:color w:val="auto"/>
          <w:sz w:val="22"/>
          <w:szCs w:val="22"/>
        </w:rPr>
      </w:pPr>
      <w:r>
        <w:rPr>
          <w:rFonts w:ascii="Arial" w:hAnsi="Arial"/>
          <w:b/>
          <w:color w:val="auto"/>
          <w:sz w:val="22"/>
          <w:szCs w:val="22"/>
        </w:rPr>
        <w:t>PER UN TOTALE COMPLESSIVO DI EURO 3.874.462,54</w:t>
      </w:r>
    </w:p>
    <w:p>
      <w:pPr>
        <w:pStyle w:val="Normal"/>
        <w:rPr>
          <w:rFonts w:ascii="Arial" w:hAnsi="Arial"/>
          <w:color w:val="auto"/>
        </w:rPr>
      </w:pPr>
      <w:r>
        <w:rPr>
          <w:rFonts w:ascii="Arial" w:hAnsi="Arial"/>
          <w:color w:val="auto"/>
        </w:rPr>
        <w:t>La</w:t>
      </w:r>
      <w:r>
        <w:rPr>
          <w:rFonts w:ascii="Arial" w:hAnsi="Arial"/>
          <w:color w:val="auto"/>
          <w:spacing w:val="-3"/>
        </w:rPr>
        <w:t xml:space="preserve"> </w:t>
      </w:r>
      <w:r>
        <w:rPr>
          <w:rFonts w:ascii="Arial" w:hAnsi="Arial"/>
          <w:color w:val="auto"/>
        </w:rPr>
        <w:t>composizione</w:t>
      </w:r>
      <w:r>
        <w:rPr>
          <w:rFonts w:ascii="Arial" w:hAnsi="Arial"/>
          <w:color w:val="auto"/>
          <w:spacing w:val="-2"/>
        </w:rPr>
        <w:t xml:space="preserve"> </w:t>
      </w:r>
      <w:r>
        <w:rPr>
          <w:rFonts w:ascii="Arial" w:hAnsi="Arial"/>
          <w:color w:val="auto"/>
        </w:rPr>
        <w:t>del</w:t>
      </w:r>
      <w:r>
        <w:rPr>
          <w:rFonts w:ascii="Arial" w:hAnsi="Arial"/>
          <w:color w:val="auto"/>
          <w:spacing w:val="-3"/>
        </w:rPr>
        <w:t xml:space="preserve"> </w:t>
      </w:r>
      <w:r>
        <w:rPr>
          <w:rFonts w:ascii="Arial" w:hAnsi="Arial"/>
          <w:color w:val="auto"/>
        </w:rPr>
        <w:t>FPV</w:t>
      </w:r>
      <w:r>
        <w:rPr>
          <w:rFonts w:ascii="Arial" w:hAnsi="Arial"/>
          <w:color w:val="auto"/>
          <w:spacing w:val="-3"/>
        </w:rPr>
        <w:t xml:space="preserve"> </w:t>
      </w:r>
      <w:r>
        <w:rPr>
          <w:rFonts w:ascii="Arial" w:hAnsi="Arial"/>
          <w:color w:val="auto"/>
        </w:rPr>
        <w:t>2024 finale,</w:t>
      </w:r>
      <w:r>
        <w:rPr>
          <w:rFonts w:ascii="Arial" w:hAnsi="Arial"/>
          <w:color w:val="auto"/>
          <w:spacing w:val="-3"/>
        </w:rPr>
        <w:t xml:space="preserve"> </w:t>
      </w:r>
      <w:r>
        <w:rPr>
          <w:rFonts w:ascii="Arial" w:hAnsi="Arial"/>
          <w:color w:val="auto"/>
        </w:rPr>
        <w:t>tenuto</w:t>
      </w:r>
      <w:r>
        <w:rPr>
          <w:rFonts w:ascii="Arial" w:hAnsi="Arial"/>
          <w:color w:val="auto"/>
          <w:spacing w:val="-3"/>
        </w:rPr>
        <w:t xml:space="preserve"> </w:t>
      </w:r>
      <w:r>
        <w:rPr>
          <w:rFonts w:ascii="Arial" w:hAnsi="Arial"/>
          <w:color w:val="auto"/>
        </w:rPr>
        <w:t>conto</w:t>
      </w:r>
      <w:r>
        <w:rPr>
          <w:rFonts w:ascii="Arial" w:hAnsi="Arial"/>
          <w:color w:val="auto"/>
          <w:spacing w:val="-3"/>
        </w:rPr>
        <w:t xml:space="preserve"> </w:t>
      </w:r>
      <w:r>
        <w:rPr>
          <w:rFonts w:ascii="Arial" w:hAnsi="Arial"/>
          <w:color w:val="auto"/>
        </w:rPr>
        <w:t>del</w:t>
      </w:r>
      <w:r>
        <w:rPr>
          <w:rFonts w:ascii="Arial" w:hAnsi="Arial"/>
          <w:color w:val="auto"/>
          <w:spacing w:val="-3"/>
        </w:rPr>
        <w:t xml:space="preserve"> </w:t>
      </w:r>
      <w:r>
        <w:rPr>
          <w:rFonts w:ascii="Arial" w:hAnsi="Arial"/>
          <w:color w:val="auto"/>
        </w:rPr>
        <w:t>fondo</w:t>
      </w:r>
      <w:r>
        <w:rPr>
          <w:rFonts w:ascii="Arial" w:hAnsi="Arial"/>
          <w:color w:val="auto"/>
          <w:spacing w:val="-3"/>
        </w:rPr>
        <w:t xml:space="preserve"> </w:t>
      </w:r>
      <w:r>
        <w:rPr>
          <w:rFonts w:ascii="Arial" w:hAnsi="Arial"/>
          <w:color w:val="auto"/>
        </w:rPr>
        <w:t>già</w:t>
      </w:r>
      <w:r>
        <w:rPr>
          <w:rFonts w:ascii="Arial" w:hAnsi="Arial"/>
          <w:color w:val="auto"/>
          <w:spacing w:val="-4"/>
        </w:rPr>
        <w:t xml:space="preserve"> </w:t>
      </w:r>
      <w:r>
        <w:rPr>
          <w:rFonts w:ascii="Arial" w:hAnsi="Arial"/>
          <w:color w:val="auto"/>
        </w:rPr>
        <w:t>costituito,</w:t>
      </w:r>
      <w:r>
        <w:rPr>
          <w:rFonts w:ascii="Arial" w:hAnsi="Arial"/>
          <w:color w:val="auto"/>
          <w:spacing w:val="2"/>
        </w:rPr>
        <w:t xml:space="preserve"> </w:t>
      </w:r>
      <w:r>
        <w:rPr>
          <w:rFonts w:ascii="Arial" w:hAnsi="Arial"/>
          <w:color w:val="auto"/>
        </w:rPr>
        <w:t>è</w:t>
      </w:r>
      <w:r>
        <w:rPr>
          <w:rFonts w:ascii="Arial" w:hAnsi="Arial"/>
          <w:color w:val="auto"/>
          <w:spacing w:val="-2"/>
        </w:rPr>
        <w:t xml:space="preserve"> </w:t>
      </w:r>
      <w:r>
        <w:rPr>
          <w:rFonts w:ascii="Arial" w:hAnsi="Arial"/>
          <w:color w:val="auto"/>
        </w:rPr>
        <w:t>la</w:t>
      </w:r>
      <w:r>
        <w:rPr>
          <w:rFonts w:ascii="Arial" w:hAnsi="Arial"/>
          <w:color w:val="auto"/>
          <w:spacing w:val="-4"/>
        </w:rPr>
        <w:t xml:space="preserve"> </w:t>
      </w:r>
      <w:r>
        <w:rPr>
          <w:rFonts w:ascii="Arial" w:hAnsi="Arial"/>
          <w:color w:val="auto"/>
        </w:rPr>
        <w:t>seguente:</w:t>
      </w:r>
    </w:p>
    <w:p>
      <w:pPr>
        <w:pStyle w:val="Corpodeltesto"/>
        <w:rPr>
          <w:rFonts w:ascii="Arial" w:hAnsi="Arial"/>
          <w:color w:val="auto"/>
          <w:sz w:val="22"/>
          <w:szCs w:val="22"/>
        </w:rPr>
      </w:pPr>
      <w:r>
        <w:rPr>
          <w:rFonts w:ascii="Arial" w:hAnsi="Arial"/>
          <w:color w:val="auto"/>
          <w:sz w:val="22"/>
          <w:szCs w:val="22"/>
        </w:rPr>
      </w:r>
    </w:p>
    <w:p>
      <w:pPr>
        <w:pStyle w:val="Corpodeltesto"/>
        <w:spacing w:before="3" w:after="1"/>
        <w:rPr>
          <w:rFonts w:ascii="Arial" w:hAnsi="Arial"/>
          <w:color w:val="auto"/>
          <w:sz w:val="22"/>
          <w:szCs w:val="22"/>
        </w:rPr>
      </w:pPr>
      <w:r>
        <w:rPr>
          <w:rFonts w:ascii="Arial" w:hAnsi="Arial"/>
          <w:color w:val="auto"/>
          <w:sz w:val="22"/>
          <w:szCs w:val="22"/>
        </w:rPr>
      </w:r>
    </w:p>
    <w:tbl>
      <w:tblPr>
        <w:tblW w:w="5545" w:type="dxa"/>
        <w:jc w:val="left"/>
        <w:tblInd w:w="1956" w:type="dxa"/>
        <w:tblLayout w:type="fixed"/>
        <w:tblCellMar>
          <w:top w:w="0" w:type="dxa"/>
          <w:left w:w="108" w:type="dxa"/>
          <w:bottom w:w="0" w:type="dxa"/>
          <w:right w:w="108" w:type="dxa"/>
        </w:tblCellMar>
      </w:tblPr>
      <w:tblGrid>
        <w:gridCol w:w="3162"/>
        <w:gridCol w:w="2382"/>
      </w:tblGrid>
      <w:tr>
        <w:trPr>
          <w:trHeight w:val="626" w:hRule="atLeast"/>
        </w:trPr>
        <w:tc>
          <w:tcPr>
            <w:tcW w:w="3162" w:type="dxa"/>
            <w:tcBorders>
              <w:top w:val="single" w:sz="6" w:space="0" w:color="000000"/>
              <w:left w:val="single" w:sz="6" w:space="0" w:color="000000"/>
              <w:bottom w:val="single" w:sz="6" w:space="0" w:color="000000"/>
              <w:right w:val="single" w:sz="6" w:space="0" w:color="000000"/>
            </w:tcBorders>
          </w:tcPr>
          <w:p>
            <w:pPr>
              <w:pStyle w:val="Corpodeltesto"/>
              <w:widowControl w:val="false"/>
              <w:jc w:val="left"/>
              <w:rPr>
                <w:rFonts w:ascii="Arial" w:hAnsi="Arial"/>
                <w:sz w:val="22"/>
                <w:szCs w:val="22"/>
              </w:rPr>
            </w:pPr>
            <w:r>
              <w:rPr>
                <w:rFonts w:ascii="Arial" w:hAnsi="Arial"/>
                <w:sz w:val="22"/>
                <w:szCs w:val="22"/>
              </w:rPr>
            </w:r>
          </w:p>
          <w:p>
            <w:pPr>
              <w:pStyle w:val="Corpodeltesto"/>
              <w:widowControl w:val="false"/>
              <w:jc w:val="left"/>
              <w:rPr>
                <w:rFonts w:ascii="Arial" w:hAnsi="Arial"/>
                <w:sz w:val="22"/>
                <w:szCs w:val="22"/>
              </w:rPr>
            </w:pPr>
            <w:r>
              <w:rPr>
                <w:rFonts w:ascii="Arial" w:hAnsi="Arial"/>
                <w:b/>
                <w:bCs/>
                <w:w w:val="105"/>
                <w:sz w:val="22"/>
                <w:szCs w:val="22"/>
                <w:u w:val="none"/>
              </w:rPr>
              <w:t>FPV</w:t>
            </w:r>
            <w:r>
              <w:rPr>
                <w:rFonts w:ascii="Arial" w:hAnsi="Arial"/>
                <w:b/>
                <w:bCs/>
                <w:spacing w:val="2"/>
                <w:w w:val="105"/>
                <w:sz w:val="22"/>
                <w:szCs w:val="22"/>
                <w:u w:val="none"/>
              </w:rPr>
              <w:t xml:space="preserve"> </w:t>
            </w:r>
            <w:r>
              <w:rPr>
                <w:rFonts w:ascii="Arial" w:hAnsi="Arial"/>
                <w:b/>
                <w:bCs/>
                <w:w w:val="105"/>
                <w:sz w:val="22"/>
                <w:szCs w:val="22"/>
                <w:u w:val="none"/>
              </w:rPr>
              <w:t>2024</w:t>
            </w:r>
          </w:p>
          <w:p>
            <w:pPr>
              <w:pStyle w:val="Corpodeltesto"/>
              <w:widowControl w:val="false"/>
              <w:jc w:val="left"/>
              <w:rPr>
                <w:rFonts w:ascii="Arial" w:hAnsi="Arial"/>
                <w:sz w:val="22"/>
                <w:szCs w:val="22"/>
              </w:rPr>
            </w:pPr>
            <w:r>
              <w:rPr>
                <w:rFonts w:ascii="Arial" w:hAnsi="Arial"/>
                <w:b/>
                <w:bCs/>
                <w:w w:val="105"/>
                <w:sz w:val="22"/>
                <w:szCs w:val="22"/>
                <w:u w:val="none"/>
              </w:rPr>
              <w:t>SPESA</w:t>
            </w:r>
            <w:r>
              <w:rPr>
                <w:rFonts w:ascii="Arial" w:hAnsi="Arial"/>
                <w:b/>
                <w:bCs/>
                <w:spacing w:val="1"/>
                <w:w w:val="105"/>
                <w:sz w:val="22"/>
                <w:szCs w:val="22"/>
                <w:u w:val="none"/>
              </w:rPr>
              <w:t xml:space="preserve"> </w:t>
            </w:r>
            <w:r>
              <w:rPr>
                <w:rFonts w:ascii="Arial" w:hAnsi="Arial"/>
                <w:b/>
                <w:bCs/>
                <w:w w:val="105"/>
                <w:sz w:val="22"/>
                <w:szCs w:val="22"/>
                <w:u w:val="none"/>
              </w:rPr>
              <w:t>CORRENTE</w:t>
            </w:r>
          </w:p>
          <w:p>
            <w:pPr>
              <w:pStyle w:val="Corpodeltesto"/>
              <w:widowControl w:val="false"/>
              <w:spacing w:before="0" w:after="120"/>
              <w:jc w:val="left"/>
              <w:rPr>
                <w:rFonts w:ascii="Arial" w:hAnsi="Arial"/>
                <w:sz w:val="22"/>
                <w:szCs w:val="22"/>
              </w:rPr>
            </w:pPr>
            <w:r>
              <w:rPr>
                <w:rFonts w:ascii="Arial" w:hAnsi="Arial"/>
                <w:sz w:val="22"/>
                <w:szCs w:val="22"/>
              </w:rPr>
            </w:r>
          </w:p>
        </w:tc>
        <w:tc>
          <w:tcPr>
            <w:tcW w:w="2382" w:type="dxa"/>
            <w:tcBorders>
              <w:top w:val="single" w:sz="6" w:space="0" w:color="000000"/>
              <w:left w:val="single" w:sz="6" w:space="0" w:color="000000"/>
              <w:bottom w:val="single" w:sz="6" w:space="0" w:color="000000"/>
              <w:right w:val="single" w:sz="6" w:space="0" w:color="000000"/>
            </w:tcBorders>
          </w:tcPr>
          <w:p>
            <w:pPr>
              <w:pStyle w:val="Corpodeltesto"/>
              <w:widowControl w:val="false"/>
              <w:jc w:val="left"/>
              <w:rPr>
                <w:rFonts w:ascii="Arial" w:hAnsi="Arial"/>
                <w:b/>
                <w:b/>
                <w:bCs/>
                <w:sz w:val="22"/>
                <w:szCs w:val="22"/>
              </w:rPr>
            </w:pPr>
            <w:r>
              <w:rPr>
                <w:rFonts w:ascii="Arial" w:hAnsi="Arial"/>
                <w:b/>
                <w:bCs/>
                <w:sz w:val="22"/>
                <w:szCs w:val="22"/>
              </w:rPr>
            </w:r>
          </w:p>
          <w:p>
            <w:pPr>
              <w:pStyle w:val="Corpodeltesto"/>
              <w:widowControl w:val="false"/>
              <w:jc w:val="left"/>
              <w:rPr>
                <w:rFonts w:ascii="Arial" w:hAnsi="Arial"/>
                <w:b/>
                <w:b/>
                <w:bCs/>
                <w:sz w:val="22"/>
                <w:szCs w:val="22"/>
              </w:rPr>
            </w:pPr>
            <w:r>
              <w:rPr>
                <w:rFonts w:ascii="Arial" w:hAnsi="Arial"/>
                <w:b/>
                <w:bCs/>
                <w:sz w:val="22"/>
                <w:szCs w:val="22"/>
              </w:rPr>
            </w:r>
          </w:p>
          <w:p>
            <w:pPr>
              <w:pStyle w:val="Corpodeltesto"/>
              <w:widowControl w:val="false"/>
              <w:jc w:val="left"/>
              <w:rPr>
                <w:rFonts w:ascii="Arial" w:hAnsi="Arial"/>
                <w:b/>
                <w:b/>
                <w:bCs/>
                <w:sz w:val="22"/>
                <w:szCs w:val="22"/>
              </w:rPr>
            </w:pPr>
            <w:r>
              <w:rPr>
                <w:rFonts w:ascii="Arial" w:hAnsi="Arial"/>
                <w:b/>
                <w:bCs/>
                <w:sz w:val="22"/>
                <w:szCs w:val="22"/>
              </w:rPr>
            </w:r>
          </w:p>
          <w:p>
            <w:pPr>
              <w:pStyle w:val="Corpodeltesto"/>
              <w:widowControl w:val="false"/>
              <w:spacing w:before="0" w:after="120"/>
              <w:jc w:val="both"/>
              <w:rPr>
                <w:rFonts w:ascii="Arial" w:hAnsi="Arial"/>
                <w:b/>
                <w:b/>
                <w:bCs/>
                <w:sz w:val="24"/>
                <w:szCs w:val="24"/>
              </w:rPr>
            </w:pPr>
            <w:r>
              <w:rPr>
                <w:rFonts w:ascii="Arial" w:hAnsi="Arial"/>
                <w:b/>
                <w:bCs/>
                <w:sz w:val="24"/>
                <w:szCs w:val="24"/>
              </w:rPr>
              <w:t>741.351,12</w:t>
            </w:r>
          </w:p>
        </w:tc>
      </w:tr>
      <w:tr>
        <w:trPr>
          <w:trHeight w:val="472" w:hRule="atLeast"/>
        </w:trPr>
        <w:tc>
          <w:tcPr>
            <w:tcW w:w="3162" w:type="dxa"/>
            <w:tcBorders>
              <w:top w:val="single" w:sz="6" w:space="0" w:color="000000"/>
              <w:left w:val="single" w:sz="6" w:space="0" w:color="000000"/>
              <w:bottom w:val="single" w:sz="6" w:space="0" w:color="000000"/>
              <w:right w:val="single" w:sz="6" w:space="0" w:color="000000"/>
            </w:tcBorders>
          </w:tcPr>
          <w:p>
            <w:pPr>
              <w:pStyle w:val="Corpodeltesto"/>
              <w:widowControl w:val="false"/>
              <w:jc w:val="left"/>
              <w:rPr>
                <w:rFonts w:ascii="Arial" w:hAnsi="Arial"/>
                <w:sz w:val="22"/>
                <w:szCs w:val="22"/>
              </w:rPr>
            </w:pPr>
            <w:r>
              <w:rPr>
                <w:rFonts w:ascii="Arial" w:hAnsi="Arial"/>
                <w:sz w:val="22"/>
                <w:szCs w:val="22"/>
              </w:rPr>
            </w:r>
          </w:p>
          <w:p>
            <w:pPr>
              <w:pStyle w:val="Corpodeltesto"/>
              <w:widowControl w:val="false"/>
              <w:jc w:val="left"/>
              <w:rPr>
                <w:rFonts w:ascii="Arial" w:hAnsi="Arial"/>
                <w:sz w:val="22"/>
                <w:szCs w:val="22"/>
              </w:rPr>
            </w:pPr>
            <w:r>
              <w:rPr>
                <w:rFonts w:ascii="Arial" w:hAnsi="Arial"/>
                <w:b/>
                <w:bCs/>
                <w:w w:val="105"/>
                <w:sz w:val="22"/>
                <w:szCs w:val="22"/>
              </w:rPr>
              <w:t>FPV</w:t>
            </w:r>
            <w:r>
              <w:rPr>
                <w:rFonts w:ascii="Arial" w:hAnsi="Arial"/>
                <w:b/>
                <w:bCs/>
                <w:spacing w:val="2"/>
                <w:w w:val="105"/>
                <w:sz w:val="22"/>
                <w:szCs w:val="22"/>
              </w:rPr>
              <w:t xml:space="preserve"> </w:t>
            </w:r>
            <w:r>
              <w:rPr>
                <w:rFonts w:ascii="Arial" w:hAnsi="Arial"/>
                <w:b/>
                <w:bCs/>
                <w:w w:val="105"/>
                <w:sz w:val="22"/>
                <w:szCs w:val="22"/>
              </w:rPr>
              <w:t>2024</w:t>
            </w:r>
          </w:p>
          <w:p>
            <w:pPr>
              <w:pStyle w:val="Corpodeltesto"/>
              <w:widowControl w:val="false"/>
              <w:jc w:val="left"/>
              <w:rPr>
                <w:rFonts w:ascii="Arial" w:hAnsi="Arial"/>
                <w:sz w:val="22"/>
                <w:szCs w:val="22"/>
              </w:rPr>
            </w:pPr>
            <w:r>
              <w:rPr>
                <w:rFonts w:ascii="Arial" w:hAnsi="Arial"/>
                <w:b/>
                <w:bCs/>
                <w:w w:val="105"/>
                <w:sz w:val="22"/>
                <w:szCs w:val="22"/>
              </w:rPr>
              <w:t>SPESA</w:t>
            </w:r>
            <w:r>
              <w:rPr>
                <w:rFonts w:ascii="Arial" w:hAnsi="Arial"/>
                <w:b/>
                <w:bCs/>
                <w:spacing w:val="2"/>
                <w:w w:val="105"/>
                <w:sz w:val="22"/>
                <w:szCs w:val="22"/>
              </w:rPr>
              <w:t xml:space="preserve"> </w:t>
            </w:r>
            <w:r>
              <w:rPr>
                <w:rFonts w:ascii="Arial" w:hAnsi="Arial"/>
                <w:b/>
                <w:bCs/>
                <w:w w:val="105"/>
                <w:sz w:val="22"/>
                <w:szCs w:val="22"/>
              </w:rPr>
              <w:t>IN</w:t>
            </w:r>
            <w:r>
              <w:rPr>
                <w:rFonts w:ascii="Arial" w:hAnsi="Arial"/>
                <w:b/>
                <w:bCs/>
                <w:spacing w:val="2"/>
                <w:w w:val="105"/>
                <w:sz w:val="22"/>
                <w:szCs w:val="22"/>
              </w:rPr>
              <w:t xml:space="preserve"> </w:t>
            </w:r>
            <w:r>
              <w:rPr>
                <w:rFonts w:ascii="Arial" w:hAnsi="Arial"/>
                <w:b/>
                <w:bCs/>
                <w:w w:val="105"/>
                <w:sz w:val="22"/>
                <w:szCs w:val="22"/>
              </w:rPr>
              <w:t>CONTO</w:t>
            </w:r>
            <w:r>
              <w:rPr>
                <w:rFonts w:ascii="Arial" w:hAnsi="Arial"/>
                <w:b/>
                <w:bCs/>
                <w:spacing w:val="6"/>
                <w:w w:val="105"/>
                <w:sz w:val="22"/>
                <w:szCs w:val="22"/>
              </w:rPr>
              <w:t xml:space="preserve"> </w:t>
            </w:r>
            <w:r>
              <w:rPr>
                <w:rFonts w:ascii="Arial" w:hAnsi="Arial"/>
                <w:b/>
                <w:bCs/>
                <w:w w:val="105"/>
                <w:sz w:val="22"/>
                <w:szCs w:val="22"/>
              </w:rPr>
              <w:t>CAPITALE</w:t>
            </w:r>
          </w:p>
          <w:p>
            <w:pPr>
              <w:pStyle w:val="Corpodeltesto"/>
              <w:widowControl w:val="false"/>
              <w:spacing w:before="0" w:after="120"/>
              <w:jc w:val="left"/>
              <w:rPr>
                <w:rFonts w:ascii="Arial" w:hAnsi="Arial"/>
                <w:sz w:val="22"/>
                <w:szCs w:val="22"/>
              </w:rPr>
            </w:pPr>
            <w:r>
              <w:rPr>
                <w:rFonts w:ascii="Arial" w:hAnsi="Arial"/>
                <w:sz w:val="22"/>
                <w:szCs w:val="22"/>
              </w:rPr>
            </w:r>
          </w:p>
        </w:tc>
        <w:tc>
          <w:tcPr>
            <w:tcW w:w="2382" w:type="dxa"/>
            <w:tcBorders>
              <w:top w:val="single" w:sz="6" w:space="0" w:color="000000"/>
              <w:left w:val="single" w:sz="6" w:space="0" w:color="000000"/>
              <w:bottom w:val="single" w:sz="6" w:space="0" w:color="000000"/>
              <w:right w:val="single" w:sz="6" w:space="0" w:color="000000"/>
            </w:tcBorders>
          </w:tcPr>
          <w:p>
            <w:pPr>
              <w:pStyle w:val="Corpodeltesto"/>
              <w:widowControl w:val="false"/>
              <w:jc w:val="left"/>
              <w:rPr>
                <w:rFonts w:ascii="Arial" w:hAnsi="Arial"/>
                <w:b/>
                <w:b/>
                <w:bCs/>
                <w:sz w:val="22"/>
                <w:szCs w:val="22"/>
              </w:rPr>
            </w:pPr>
            <w:r>
              <w:rPr>
                <w:rFonts w:ascii="Arial" w:hAnsi="Arial"/>
                <w:b/>
                <w:bCs/>
                <w:sz w:val="22"/>
                <w:szCs w:val="22"/>
              </w:rPr>
            </w:r>
          </w:p>
          <w:p>
            <w:pPr>
              <w:pStyle w:val="Corpodeltesto"/>
              <w:widowControl w:val="false"/>
              <w:jc w:val="left"/>
              <w:rPr>
                <w:rFonts w:ascii="Arial" w:hAnsi="Arial"/>
                <w:b/>
                <w:b/>
                <w:bCs/>
                <w:sz w:val="22"/>
                <w:szCs w:val="22"/>
              </w:rPr>
            </w:pPr>
            <w:r>
              <w:rPr>
                <w:rFonts w:ascii="Arial" w:hAnsi="Arial"/>
                <w:b/>
                <w:bCs/>
                <w:sz w:val="22"/>
                <w:szCs w:val="22"/>
              </w:rPr>
            </w:r>
          </w:p>
          <w:p>
            <w:pPr>
              <w:pStyle w:val="Corpodeltesto"/>
              <w:widowControl w:val="false"/>
              <w:spacing w:before="0" w:after="120"/>
              <w:jc w:val="left"/>
              <w:rPr>
                <w:rFonts w:ascii="Arial" w:hAnsi="Arial"/>
                <w:b/>
                <w:b/>
                <w:bCs/>
                <w:sz w:val="24"/>
                <w:szCs w:val="24"/>
              </w:rPr>
            </w:pPr>
            <w:r>
              <w:rPr>
                <w:rFonts w:ascii="Arial" w:hAnsi="Arial"/>
                <w:b/>
                <w:bCs/>
                <w:sz w:val="24"/>
                <w:szCs w:val="24"/>
              </w:rPr>
              <w:t>3.133.111,42</w:t>
            </w:r>
          </w:p>
        </w:tc>
      </w:tr>
      <w:tr>
        <w:trPr>
          <w:trHeight w:val="462" w:hRule="atLeast"/>
        </w:trPr>
        <w:tc>
          <w:tcPr>
            <w:tcW w:w="3162" w:type="dxa"/>
            <w:tcBorders>
              <w:top w:val="single" w:sz="6" w:space="0" w:color="000000"/>
              <w:left w:val="single" w:sz="6" w:space="0" w:color="000000"/>
              <w:bottom w:val="single" w:sz="6" w:space="0" w:color="000000"/>
              <w:right w:val="single" w:sz="6" w:space="0" w:color="000000"/>
            </w:tcBorders>
          </w:tcPr>
          <w:p>
            <w:pPr>
              <w:pStyle w:val="Corpodeltesto"/>
              <w:widowControl w:val="false"/>
              <w:jc w:val="left"/>
              <w:rPr>
                <w:rFonts w:ascii="Arial" w:hAnsi="Arial"/>
                <w:sz w:val="22"/>
                <w:szCs w:val="22"/>
              </w:rPr>
            </w:pPr>
            <w:r>
              <w:rPr>
                <w:rFonts w:ascii="Arial" w:hAnsi="Arial"/>
                <w:sz w:val="22"/>
                <w:szCs w:val="22"/>
              </w:rPr>
            </w:r>
          </w:p>
          <w:p>
            <w:pPr>
              <w:pStyle w:val="Corpodeltesto"/>
              <w:widowControl w:val="false"/>
              <w:jc w:val="left"/>
              <w:rPr>
                <w:rFonts w:ascii="Arial" w:hAnsi="Arial"/>
                <w:sz w:val="22"/>
                <w:szCs w:val="22"/>
              </w:rPr>
            </w:pPr>
            <w:r>
              <w:rPr>
                <w:rFonts w:ascii="Arial" w:hAnsi="Arial"/>
                <w:b/>
                <w:bCs/>
                <w:w w:val="105"/>
                <w:sz w:val="22"/>
                <w:szCs w:val="22"/>
              </w:rPr>
              <w:t>FPV</w:t>
            </w:r>
            <w:r>
              <w:rPr>
                <w:rFonts w:ascii="Arial" w:hAnsi="Arial"/>
                <w:b/>
                <w:bCs/>
                <w:spacing w:val="3"/>
                <w:w w:val="105"/>
                <w:sz w:val="22"/>
                <w:szCs w:val="22"/>
              </w:rPr>
              <w:t xml:space="preserve"> </w:t>
            </w:r>
            <w:r>
              <w:rPr>
                <w:rFonts w:ascii="Arial" w:hAnsi="Arial"/>
                <w:b/>
                <w:bCs/>
                <w:w w:val="105"/>
                <w:sz w:val="22"/>
                <w:szCs w:val="22"/>
              </w:rPr>
              <w:t>2024</w:t>
            </w:r>
            <w:r>
              <w:rPr>
                <w:rFonts w:ascii="Arial" w:hAnsi="Arial"/>
                <w:b/>
                <w:bCs/>
                <w:spacing w:val="3"/>
                <w:w w:val="105"/>
                <w:sz w:val="22"/>
                <w:szCs w:val="22"/>
              </w:rPr>
              <w:t xml:space="preserve"> </w:t>
            </w:r>
            <w:r>
              <w:rPr>
                <w:rFonts w:ascii="Arial" w:hAnsi="Arial"/>
                <w:b/>
                <w:bCs/>
                <w:w w:val="105"/>
                <w:sz w:val="22"/>
                <w:szCs w:val="22"/>
              </w:rPr>
              <w:t>SPESA</w:t>
            </w:r>
            <w:r>
              <w:rPr>
                <w:rFonts w:ascii="Arial" w:hAnsi="Arial"/>
                <w:b/>
                <w:bCs/>
                <w:spacing w:val="3"/>
                <w:w w:val="105"/>
                <w:sz w:val="22"/>
                <w:szCs w:val="22"/>
              </w:rPr>
              <w:t xml:space="preserve"> </w:t>
            </w:r>
            <w:r>
              <w:rPr>
                <w:rFonts w:ascii="Arial" w:hAnsi="Arial"/>
                <w:b/>
                <w:bCs/>
                <w:w w:val="105"/>
                <w:sz w:val="22"/>
                <w:szCs w:val="22"/>
              </w:rPr>
              <w:t>PER</w:t>
            </w:r>
          </w:p>
          <w:p>
            <w:pPr>
              <w:pStyle w:val="Corpodeltesto"/>
              <w:widowControl w:val="false"/>
              <w:jc w:val="left"/>
              <w:rPr>
                <w:rFonts w:ascii="Arial" w:hAnsi="Arial"/>
                <w:sz w:val="22"/>
                <w:szCs w:val="22"/>
              </w:rPr>
            </w:pPr>
            <w:r>
              <w:rPr>
                <w:rFonts w:ascii="Arial" w:hAnsi="Arial"/>
                <w:b/>
                <w:bCs/>
                <w:w w:val="105"/>
                <w:sz w:val="22"/>
                <w:szCs w:val="22"/>
              </w:rPr>
              <w:t>ATTIVITA'</w:t>
            </w:r>
            <w:r>
              <w:rPr>
                <w:rFonts w:ascii="Arial" w:hAnsi="Arial"/>
                <w:b/>
                <w:bCs/>
                <w:spacing w:val="2"/>
                <w:w w:val="105"/>
                <w:sz w:val="22"/>
                <w:szCs w:val="22"/>
              </w:rPr>
              <w:t xml:space="preserve"> </w:t>
            </w:r>
            <w:r>
              <w:rPr>
                <w:rFonts w:ascii="Arial" w:hAnsi="Arial"/>
                <w:b/>
                <w:bCs/>
                <w:w w:val="105"/>
                <w:sz w:val="22"/>
                <w:szCs w:val="22"/>
              </w:rPr>
              <w:t>FINANZIARIE</w:t>
            </w:r>
          </w:p>
          <w:p>
            <w:pPr>
              <w:pStyle w:val="Corpodeltesto"/>
              <w:widowControl w:val="false"/>
              <w:spacing w:before="0" w:after="120"/>
              <w:jc w:val="left"/>
              <w:rPr>
                <w:rFonts w:ascii="Arial" w:hAnsi="Arial"/>
                <w:sz w:val="22"/>
                <w:szCs w:val="22"/>
              </w:rPr>
            </w:pPr>
            <w:r>
              <w:rPr>
                <w:rFonts w:ascii="Arial" w:hAnsi="Arial"/>
                <w:sz w:val="22"/>
                <w:szCs w:val="22"/>
              </w:rPr>
            </w:r>
          </w:p>
        </w:tc>
        <w:tc>
          <w:tcPr>
            <w:tcW w:w="2382" w:type="dxa"/>
            <w:tcBorders>
              <w:top w:val="single" w:sz="6" w:space="0" w:color="000000"/>
              <w:left w:val="single" w:sz="6" w:space="0" w:color="000000"/>
              <w:bottom w:val="single" w:sz="6" w:space="0" w:color="000000"/>
              <w:right w:val="single" w:sz="6" w:space="0" w:color="000000"/>
            </w:tcBorders>
          </w:tcPr>
          <w:p>
            <w:pPr>
              <w:pStyle w:val="Corpodeltesto"/>
              <w:widowControl w:val="false"/>
              <w:jc w:val="left"/>
              <w:rPr>
                <w:rFonts w:ascii="Arial" w:hAnsi="Arial"/>
                <w:b/>
                <w:b/>
                <w:bCs/>
                <w:sz w:val="22"/>
                <w:szCs w:val="22"/>
              </w:rPr>
            </w:pPr>
            <w:r>
              <w:rPr>
                <w:rFonts w:ascii="Arial" w:hAnsi="Arial"/>
                <w:b/>
                <w:bCs/>
                <w:sz w:val="22"/>
                <w:szCs w:val="22"/>
              </w:rPr>
            </w:r>
          </w:p>
          <w:p>
            <w:pPr>
              <w:pStyle w:val="Corpodeltesto"/>
              <w:widowControl w:val="false"/>
              <w:jc w:val="left"/>
              <w:rPr>
                <w:rFonts w:ascii="Arial" w:hAnsi="Arial"/>
                <w:b/>
                <w:b/>
                <w:bCs/>
                <w:sz w:val="22"/>
                <w:szCs w:val="22"/>
              </w:rPr>
            </w:pPr>
            <w:r>
              <w:rPr>
                <w:rFonts w:ascii="Arial" w:hAnsi="Arial"/>
                <w:b/>
                <w:bCs/>
                <w:sz w:val="22"/>
                <w:szCs w:val="22"/>
              </w:rPr>
            </w:r>
          </w:p>
          <w:p>
            <w:pPr>
              <w:pStyle w:val="Corpodeltesto"/>
              <w:widowControl w:val="false"/>
              <w:spacing w:before="0" w:after="120"/>
              <w:jc w:val="left"/>
              <w:rPr>
                <w:rFonts w:ascii="Arial" w:hAnsi="Arial"/>
                <w:b/>
                <w:b/>
                <w:bCs/>
                <w:sz w:val="22"/>
                <w:szCs w:val="22"/>
              </w:rPr>
            </w:pPr>
            <w:r>
              <w:rPr>
                <w:rFonts w:ascii="Arial" w:hAnsi="Arial"/>
                <w:b/>
                <w:bCs/>
                <w:sz w:val="22"/>
                <w:szCs w:val="22"/>
              </w:rPr>
              <w:t>0,00</w:t>
            </w:r>
          </w:p>
        </w:tc>
      </w:tr>
      <w:tr>
        <w:trPr>
          <w:trHeight w:val="247" w:hRule="atLeast"/>
        </w:trPr>
        <w:tc>
          <w:tcPr>
            <w:tcW w:w="3162" w:type="dxa"/>
            <w:tcBorders>
              <w:top w:val="single" w:sz="6" w:space="0" w:color="000000"/>
              <w:left w:val="single" w:sz="6" w:space="0" w:color="000000"/>
              <w:bottom w:val="single" w:sz="6" w:space="0" w:color="000000"/>
              <w:right w:val="single" w:sz="6" w:space="0" w:color="000000"/>
            </w:tcBorders>
          </w:tcPr>
          <w:p>
            <w:pPr>
              <w:pStyle w:val="Corpodeltesto"/>
              <w:widowControl w:val="false"/>
              <w:jc w:val="left"/>
              <w:rPr>
                <w:rFonts w:ascii="Arial" w:hAnsi="Arial"/>
                <w:sz w:val="24"/>
                <w:szCs w:val="24"/>
              </w:rPr>
            </w:pPr>
            <w:r>
              <w:rPr>
                <w:rFonts w:ascii="Arial" w:hAnsi="Arial"/>
                <w:sz w:val="24"/>
                <w:szCs w:val="24"/>
              </w:rPr>
            </w:r>
          </w:p>
          <w:p>
            <w:pPr>
              <w:pStyle w:val="Corpodeltesto"/>
              <w:widowControl w:val="false"/>
              <w:spacing w:before="0" w:after="120"/>
              <w:jc w:val="left"/>
              <w:rPr>
                <w:rFonts w:ascii="Arial" w:hAnsi="Arial"/>
                <w:b/>
                <w:b/>
                <w:bCs/>
                <w:sz w:val="24"/>
                <w:szCs w:val="24"/>
              </w:rPr>
            </w:pPr>
            <w:r>
              <w:rPr>
                <w:rFonts w:ascii="Arial" w:hAnsi="Arial"/>
                <w:b/>
                <w:bCs/>
                <w:sz w:val="24"/>
                <w:szCs w:val="24"/>
              </w:rPr>
              <w:t>TOTALE</w:t>
            </w:r>
          </w:p>
        </w:tc>
        <w:tc>
          <w:tcPr>
            <w:tcW w:w="2382" w:type="dxa"/>
            <w:tcBorders>
              <w:top w:val="single" w:sz="6" w:space="0" w:color="000000"/>
              <w:left w:val="single" w:sz="6" w:space="0" w:color="000000"/>
              <w:bottom w:val="single" w:sz="6" w:space="0" w:color="000000"/>
              <w:right w:val="single" w:sz="6" w:space="0" w:color="000000"/>
            </w:tcBorders>
            <w:shd w:fill="B6DDE7" w:val="clear"/>
          </w:tcPr>
          <w:p>
            <w:pPr>
              <w:pStyle w:val="Corpodeltesto"/>
              <w:widowControl w:val="false"/>
              <w:spacing w:before="0" w:after="120"/>
              <w:jc w:val="left"/>
              <w:rPr>
                <w:rFonts w:ascii="Arial" w:hAnsi="Arial"/>
                <w:b/>
                <w:b/>
                <w:bCs/>
                <w:sz w:val="24"/>
                <w:szCs w:val="24"/>
              </w:rPr>
            </w:pPr>
            <w:r>
              <w:rPr>
                <w:rFonts w:ascii="Arial" w:hAnsi="Arial"/>
                <w:b/>
                <w:bCs/>
                <w:sz w:val="24"/>
                <w:szCs w:val="24"/>
              </w:rPr>
              <w:t>3.874.462,54</w:t>
            </w:r>
          </w:p>
        </w:tc>
      </w:tr>
    </w:tbl>
    <w:p>
      <w:pPr>
        <w:pStyle w:val="Corpodeltesto"/>
        <w:spacing w:lineRule="auto" w:line="276" w:before="56" w:after="0"/>
        <w:ind w:left="0" w:right="198" w:hanging="0"/>
        <w:jc w:val="both"/>
        <w:rPr>
          <w:rFonts w:ascii="Arial" w:hAnsi="Arial"/>
          <w:color w:val="auto"/>
          <w:sz w:val="22"/>
          <w:szCs w:val="22"/>
        </w:rPr>
      </w:pPr>
      <w:r>
        <w:rPr>
          <w:rFonts w:ascii="Arial" w:hAnsi="Arial"/>
          <w:color w:val="auto"/>
          <w:sz w:val="22"/>
          <w:szCs w:val="22"/>
        </w:rPr>
      </w:r>
    </w:p>
    <w:p>
      <w:pPr>
        <w:pStyle w:val="Normal"/>
        <w:rPr>
          <w:color w:val="auto"/>
        </w:rPr>
      </w:pPr>
      <w:r>
        <w:rPr>
          <w:color w:val="auto"/>
        </w:rPr>
      </w:r>
    </w:p>
    <w:p>
      <w:pPr>
        <w:pStyle w:val="Normal"/>
        <w:rPr>
          <w:rFonts w:ascii="Arial" w:hAnsi="Arial"/>
        </w:rPr>
      </w:pPr>
      <w:r>
        <w:rPr>
          <w:rFonts w:ascii="Arial" w:hAnsi="Arial"/>
          <w:color w:val="auto"/>
        </w:rPr>
        <w:t>L’Organo di revisione evidenzia che il principio contabile 4/2 indica che il FPV è prevalentemente costituito</w:t>
      </w:r>
      <w:r>
        <w:rPr>
          <w:rFonts w:ascii="Arial" w:hAnsi="Arial"/>
          <w:color w:val="auto"/>
          <w:spacing w:val="1"/>
        </w:rPr>
        <w:t xml:space="preserve"> </w:t>
      </w:r>
      <w:r>
        <w:rPr>
          <w:rFonts w:ascii="Arial" w:hAnsi="Arial"/>
          <w:color w:val="auto"/>
        </w:rPr>
        <w:t>dalle spese in conto capitale, ma può essere destinato anche a garantire la copertura di spese correnti o per</w:t>
      </w:r>
      <w:r>
        <w:rPr>
          <w:rFonts w:ascii="Arial" w:hAnsi="Arial"/>
          <w:color w:val="auto"/>
          <w:spacing w:val="-47"/>
        </w:rPr>
        <w:t xml:space="preserve"> </w:t>
      </w:r>
      <w:r>
        <w:rPr>
          <w:rFonts w:ascii="Arial" w:hAnsi="Arial"/>
          <w:color w:val="auto"/>
        </w:rPr>
        <w:t>attività</w:t>
      </w:r>
      <w:r>
        <w:rPr>
          <w:rFonts w:ascii="Arial" w:hAnsi="Arial"/>
          <w:color w:val="auto"/>
          <w:spacing w:val="-4"/>
        </w:rPr>
        <w:t xml:space="preserve"> </w:t>
      </w:r>
      <w:r>
        <w:rPr>
          <w:rFonts w:ascii="Arial" w:hAnsi="Arial"/>
          <w:color w:val="auto"/>
        </w:rPr>
        <w:t>finanziarie.</w:t>
      </w:r>
    </w:p>
    <w:p>
      <w:pPr>
        <w:pStyle w:val="Normal"/>
        <w:rPr>
          <w:color w:val="auto"/>
        </w:rPr>
      </w:pPr>
      <w:r>
        <w:rPr>
          <w:color w:val="auto"/>
        </w:rPr>
      </w:r>
    </w:p>
    <w:p>
      <w:pPr>
        <w:pStyle w:val="Normal"/>
        <w:widowControl w:val="false"/>
        <w:overflowPunct w:val="true"/>
        <w:spacing w:lineRule="auto" w:line="240" w:before="0" w:after="120"/>
        <w:jc w:val="both"/>
        <w:textAlignment w:val="baseline"/>
        <w:rPr>
          <w:rFonts w:ascii="Arial" w:hAnsi="Arial"/>
          <w:sz w:val="22"/>
          <w:szCs w:val="22"/>
        </w:rPr>
      </w:pPr>
      <w:r>
        <w:rPr>
          <w:rFonts w:ascii="Arial" w:hAnsi="Arial"/>
          <w:b w:val="false"/>
          <w:strike w:val="false"/>
          <w:dstrike w:val="false"/>
          <w:color w:val="000000" w:themeColor="text1" w:themeTint="bf"/>
          <w:sz w:val="22"/>
          <w:szCs w:val="22"/>
          <w:u w:val="none"/>
        </w:rPr>
        <w:t xml:space="preserve">In sede di riaccertamento ordinario dei residui 2024 – azione propedeutica alla formazione del Rendiconto di gestione 2024, il FPV è stato attivato per le seguenti tipologie di spese correnti: </w:t>
      </w:r>
    </w:p>
    <w:p>
      <w:pPr>
        <w:pStyle w:val="Normal"/>
        <w:widowControl w:val="false"/>
        <w:overflowPunct w:val="true"/>
        <w:spacing w:lineRule="auto" w:line="240" w:before="0" w:after="120"/>
        <w:jc w:val="both"/>
        <w:textAlignment w:val="baseline"/>
        <w:rPr>
          <w:rFonts w:ascii="Arial" w:hAnsi="Arial"/>
          <w:sz w:val="22"/>
          <w:szCs w:val="22"/>
        </w:rPr>
      </w:pPr>
      <w:r>
        <w:rPr>
          <w:rFonts w:ascii="Arial" w:hAnsi="Arial"/>
          <w:sz w:val="22"/>
          <w:szCs w:val="22"/>
        </w:rPr>
      </w:r>
    </w:p>
    <w:p>
      <w:pPr>
        <w:pStyle w:val="Normal"/>
        <w:widowControl w:val="false"/>
        <w:overflowPunct w:val="true"/>
        <w:spacing w:lineRule="auto" w:line="240" w:before="0" w:after="120"/>
        <w:jc w:val="both"/>
        <w:textAlignment w:val="baseline"/>
        <w:rPr>
          <w:rFonts w:ascii="Arial" w:hAnsi="Arial"/>
          <w:sz w:val="22"/>
          <w:szCs w:val="22"/>
        </w:rPr>
      </w:pPr>
      <w:r>
        <w:rPr>
          <w:rFonts w:ascii="Arial" w:hAnsi="Arial"/>
          <w:sz w:val="22"/>
          <w:szCs w:val="22"/>
        </w:rPr>
      </w:r>
    </w:p>
    <w:p>
      <w:pPr>
        <w:pStyle w:val="Normal"/>
        <w:widowControl w:val="false"/>
        <w:overflowPunct w:val="true"/>
        <w:spacing w:lineRule="auto" w:line="240" w:before="0" w:after="120"/>
        <w:jc w:val="both"/>
        <w:textAlignment w:val="baseline"/>
        <w:rPr>
          <w:rFonts w:ascii="Arial" w:hAnsi="Arial"/>
          <w:sz w:val="22"/>
          <w:szCs w:val="22"/>
        </w:rPr>
      </w:pPr>
      <w:r>
        <w:rPr>
          <w:rFonts w:ascii="Arial" w:hAnsi="Arial"/>
          <w:sz w:val="22"/>
          <w:szCs w:val="22"/>
        </w:rPr>
      </w:r>
    </w:p>
    <w:p>
      <w:pPr>
        <w:pStyle w:val="Normal"/>
        <w:widowControl w:val="false"/>
        <w:overflowPunct w:val="true"/>
        <w:spacing w:lineRule="auto" w:line="240" w:before="0" w:after="120"/>
        <w:jc w:val="both"/>
        <w:textAlignment w:val="baseline"/>
        <w:rPr>
          <w:rFonts w:ascii="Arial" w:hAnsi="Arial"/>
          <w:sz w:val="22"/>
          <w:szCs w:val="22"/>
        </w:rPr>
      </w:pPr>
      <w:r>
        <w:rPr>
          <w:rFonts w:ascii="Arial" w:hAnsi="Arial"/>
          <w:sz w:val="22"/>
          <w:szCs w:val="22"/>
        </w:rPr>
      </w:r>
    </w:p>
    <w:p>
      <w:pPr>
        <w:pStyle w:val="Corpodeltesto"/>
        <w:rPr>
          <w:rFonts w:ascii="Arial" w:hAnsi="Arial"/>
          <w:color w:val="auto"/>
          <w:sz w:val="22"/>
          <w:szCs w:val="22"/>
        </w:rPr>
      </w:pPr>
      <w:r>
        <w:rPr>
          <w:rFonts w:ascii="Arial" w:hAnsi="Arial"/>
          <w:color w:val="auto"/>
          <w:sz w:val="22"/>
          <w:szCs w:val="22"/>
        </w:rPr>
      </w:r>
    </w:p>
    <w:p>
      <w:pPr>
        <w:pStyle w:val="Corpodeltesto"/>
        <w:spacing w:before="11" w:after="0"/>
        <w:rPr>
          <w:rFonts w:ascii="Arial" w:hAnsi="Arial"/>
          <w:color w:val="auto"/>
          <w:sz w:val="22"/>
          <w:szCs w:val="22"/>
        </w:rPr>
      </w:pPr>
      <w:r>
        <w:rPr>
          <w:rFonts w:ascii="Arial" w:hAnsi="Arial"/>
          <w:color w:val="auto"/>
          <w:sz w:val="22"/>
          <w:szCs w:val="22"/>
        </w:rPr>
      </w:r>
    </w:p>
    <w:tbl>
      <w:tblPr>
        <w:tblW w:w="6923" w:type="dxa"/>
        <w:jc w:val="left"/>
        <w:tblInd w:w="1551" w:type="dxa"/>
        <w:tblLayout w:type="fixed"/>
        <w:tblCellMar>
          <w:top w:w="0" w:type="dxa"/>
          <w:left w:w="108" w:type="dxa"/>
          <w:bottom w:w="0" w:type="dxa"/>
          <w:right w:w="108" w:type="dxa"/>
        </w:tblCellMar>
      </w:tblPr>
      <w:tblGrid>
        <w:gridCol w:w="4580"/>
        <w:gridCol w:w="2342"/>
      </w:tblGrid>
      <w:tr>
        <w:trPr>
          <w:trHeight w:val="261" w:hRule="atLeast"/>
        </w:trPr>
        <w:tc>
          <w:tcPr>
            <w:tcW w:w="4580" w:type="dxa"/>
            <w:tcBorders>
              <w:top w:val="single" w:sz="8" w:space="0" w:color="000000"/>
              <w:left w:val="single" w:sz="8" w:space="0" w:color="000000"/>
              <w:bottom w:val="single" w:sz="8" w:space="0" w:color="000000"/>
              <w:right w:val="single" w:sz="8" w:space="0" w:color="000000"/>
            </w:tcBorders>
          </w:tcPr>
          <w:p>
            <w:pPr>
              <w:pStyle w:val="Corpodeltesto"/>
              <w:widowControl w:val="false"/>
              <w:spacing w:before="0" w:after="120"/>
              <w:rPr>
                <w:rFonts w:ascii="Arial" w:hAnsi="Arial"/>
              </w:rPr>
            </w:pPr>
            <w:r>
              <w:rPr>
                <w:rFonts w:ascii="Arial" w:hAnsi="Arial"/>
                <w:spacing w:val="4"/>
                <w:w w:val="95"/>
              </w:rPr>
              <w:t xml:space="preserve">Spese per il personale dipendente </w:t>
            </w:r>
            <w:r>
              <w:rPr>
                <w:rFonts w:ascii="Arial" w:hAnsi="Arial"/>
                <w:w w:val="95"/>
              </w:rPr>
              <w:t>*</w:t>
            </w:r>
          </w:p>
        </w:tc>
        <w:tc>
          <w:tcPr>
            <w:tcW w:w="2342" w:type="dxa"/>
            <w:tcBorders>
              <w:top w:val="single" w:sz="8" w:space="0" w:color="000000"/>
              <w:left w:val="single" w:sz="8" w:space="0" w:color="000000"/>
              <w:bottom w:val="single" w:sz="8" w:space="0" w:color="000000"/>
              <w:right w:val="single" w:sz="8" w:space="0" w:color="000000"/>
            </w:tcBorders>
          </w:tcPr>
          <w:p>
            <w:pPr>
              <w:pStyle w:val="Corpodeltesto"/>
              <w:widowControl w:val="false"/>
              <w:spacing w:before="0" w:after="120"/>
              <w:rPr>
                <w:rFonts w:ascii="Arial" w:hAnsi="Arial"/>
              </w:rPr>
            </w:pPr>
            <w:r>
              <w:rPr>
                <w:rFonts w:ascii="Arial" w:hAnsi="Arial"/>
              </w:rPr>
              <w:tab/>
              <w:t>429.587,77</w:t>
            </w:r>
          </w:p>
        </w:tc>
      </w:tr>
      <w:tr>
        <w:trPr>
          <w:trHeight w:val="251" w:hRule="atLeast"/>
        </w:trPr>
        <w:tc>
          <w:tcPr>
            <w:tcW w:w="4580" w:type="dxa"/>
            <w:tcBorders>
              <w:top w:val="single" w:sz="8" w:space="0" w:color="000000"/>
              <w:left w:val="single" w:sz="8" w:space="0" w:color="000000"/>
              <w:bottom w:val="single" w:sz="8" w:space="0" w:color="000000"/>
              <w:right w:val="single" w:sz="8" w:space="0" w:color="000000"/>
            </w:tcBorders>
          </w:tcPr>
          <w:p>
            <w:pPr>
              <w:pStyle w:val="Corpodeltesto"/>
              <w:widowControl w:val="false"/>
              <w:spacing w:before="0" w:after="120"/>
              <w:rPr>
                <w:rFonts w:ascii="Arial" w:hAnsi="Arial"/>
              </w:rPr>
            </w:pPr>
            <w:r>
              <w:rPr>
                <w:rFonts w:ascii="Arial" w:hAnsi="Arial"/>
                <w:w w:val="95"/>
              </w:rPr>
              <w:t>Trasferimenti</w:t>
            </w:r>
            <w:r>
              <w:rPr>
                <w:rFonts w:ascii="Arial" w:hAnsi="Arial"/>
                <w:spacing w:val="4"/>
                <w:w w:val="95"/>
              </w:rPr>
              <w:t xml:space="preserve"> </w:t>
            </w:r>
            <w:r>
              <w:rPr>
                <w:rFonts w:ascii="Arial" w:hAnsi="Arial"/>
                <w:w w:val="95"/>
              </w:rPr>
              <w:t>correnti</w:t>
            </w:r>
          </w:p>
        </w:tc>
        <w:tc>
          <w:tcPr>
            <w:tcW w:w="2342" w:type="dxa"/>
            <w:tcBorders>
              <w:top w:val="single" w:sz="8" w:space="0" w:color="000000"/>
              <w:left w:val="single" w:sz="8" w:space="0" w:color="000000"/>
              <w:bottom w:val="single" w:sz="8" w:space="0" w:color="000000"/>
              <w:right w:val="single" w:sz="8" w:space="0" w:color="000000"/>
            </w:tcBorders>
          </w:tcPr>
          <w:p>
            <w:pPr>
              <w:pStyle w:val="Corpodeltesto"/>
              <w:widowControl w:val="false"/>
              <w:spacing w:before="0" w:after="120"/>
              <w:rPr>
                <w:rFonts w:ascii="Arial" w:hAnsi="Arial"/>
              </w:rPr>
            </w:pPr>
            <w:r>
              <w:rPr>
                <w:rFonts w:ascii="Arial" w:hAnsi="Arial"/>
              </w:rPr>
              <w:t>0,00</w:t>
            </w:r>
          </w:p>
        </w:tc>
      </w:tr>
      <w:tr>
        <w:trPr>
          <w:trHeight w:val="261" w:hRule="atLeast"/>
        </w:trPr>
        <w:tc>
          <w:tcPr>
            <w:tcW w:w="4580" w:type="dxa"/>
            <w:tcBorders>
              <w:top w:val="single" w:sz="8" w:space="0" w:color="000000"/>
              <w:left w:val="single" w:sz="8" w:space="0" w:color="000000"/>
              <w:bottom w:val="single" w:sz="8" w:space="0" w:color="000000"/>
              <w:right w:val="single" w:sz="8" w:space="0" w:color="000000"/>
            </w:tcBorders>
          </w:tcPr>
          <w:p>
            <w:pPr>
              <w:pStyle w:val="Corpodeltesto"/>
              <w:widowControl w:val="false"/>
              <w:spacing w:before="0" w:after="120"/>
              <w:rPr>
                <w:rFonts w:ascii="Arial" w:hAnsi="Arial"/>
              </w:rPr>
            </w:pPr>
            <w:r>
              <w:rPr>
                <w:rFonts w:ascii="Arial" w:hAnsi="Arial"/>
                <w:w w:val="95"/>
              </w:rPr>
              <w:t>Incarichi</w:t>
            </w:r>
            <w:r>
              <w:rPr>
                <w:rFonts w:ascii="Arial" w:hAnsi="Arial"/>
                <w:spacing w:val="-2"/>
                <w:w w:val="95"/>
              </w:rPr>
              <w:t xml:space="preserve"> </w:t>
            </w:r>
            <w:r>
              <w:rPr>
                <w:rFonts w:ascii="Arial" w:hAnsi="Arial"/>
                <w:w w:val="95"/>
              </w:rPr>
              <w:t>a</w:t>
            </w:r>
            <w:r>
              <w:rPr>
                <w:rFonts w:ascii="Arial" w:hAnsi="Arial"/>
                <w:spacing w:val="2"/>
                <w:w w:val="95"/>
              </w:rPr>
              <w:t xml:space="preserve"> </w:t>
            </w:r>
            <w:r>
              <w:rPr>
                <w:rFonts w:ascii="Arial" w:hAnsi="Arial"/>
                <w:w w:val="95"/>
              </w:rPr>
              <w:t>legali</w:t>
            </w:r>
            <w:r>
              <w:rPr>
                <w:rFonts w:ascii="Arial" w:hAnsi="Arial"/>
                <w:spacing w:val="-1"/>
                <w:w w:val="95"/>
              </w:rPr>
              <w:t xml:space="preserve"> </w:t>
            </w:r>
            <w:r>
              <w:rPr>
                <w:rFonts w:ascii="Arial" w:hAnsi="Arial"/>
                <w:w w:val="95"/>
              </w:rPr>
              <w:t>**</w:t>
            </w:r>
          </w:p>
        </w:tc>
        <w:tc>
          <w:tcPr>
            <w:tcW w:w="2342" w:type="dxa"/>
            <w:tcBorders>
              <w:top w:val="single" w:sz="8" w:space="0" w:color="000000"/>
              <w:left w:val="single" w:sz="8" w:space="0" w:color="000000"/>
              <w:bottom w:val="single" w:sz="8" w:space="0" w:color="000000"/>
              <w:right w:val="single" w:sz="8" w:space="0" w:color="000000"/>
            </w:tcBorders>
          </w:tcPr>
          <w:p>
            <w:pPr>
              <w:pStyle w:val="Corpodeltesto"/>
              <w:widowControl w:val="false"/>
              <w:spacing w:before="0" w:after="120"/>
              <w:rPr>
                <w:rFonts w:ascii="Arial" w:hAnsi="Arial"/>
              </w:rPr>
            </w:pPr>
            <w:r>
              <w:rPr>
                <w:rFonts w:ascii="Arial" w:hAnsi="Arial"/>
              </w:rPr>
              <w:t>65.502,71</w:t>
            </w:r>
          </w:p>
        </w:tc>
      </w:tr>
      <w:tr>
        <w:trPr>
          <w:trHeight w:val="251" w:hRule="atLeast"/>
        </w:trPr>
        <w:tc>
          <w:tcPr>
            <w:tcW w:w="4580" w:type="dxa"/>
            <w:tcBorders>
              <w:top w:val="single" w:sz="8" w:space="0" w:color="000000"/>
              <w:left w:val="single" w:sz="8" w:space="0" w:color="000000"/>
              <w:bottom w:val="single" w:sz="8" w:space="0" w:color="000000"/>
              <w:right w:val="single" w:sz="8" w:space="0" w:color="000000"/>
            </w:tcBorders>
          </w:tcPr>
          <w:p>
            <w:pPr>
              <w:pStyle w:val="Corpodeltesto"/>
              <w:widowControl w:val="false"/>
              <w:spacing w:before="0" w:after="120"/>
              <w:rPr>
                <w:rFonts w:ascii="Arial" w:hAnsi="Arial"/>
              </w:rPr>
            </w:pPr>
            <w:r>
              <w:rPr>
                <w:rFonts w:ascii="Arial" w:hAnsi="Arial"/>
                <w:w w:val="95"/>
              </w:rPr>
              <w:t>Altri</w:t>
            </w:r>
            <w:r>
              <w:rPr>
                <w:rFonts w:ascii="Arial" w:hAnsi="Arial"/>
                <w:spacing w:val="-2"/>
                <w:w w:val="95"/>
              </w:rPr>
              <w:t xml:space="preserve"> </w:t>
            </w:r>
            <w:r>
              <w:rPr>
                <w:rFonts w:ascii="Arial" w:hAnsi="Arial"/>
                <w:w w:val="95"/>
              </w:rPr>
              <w:t>incarichi***</w:t>
            </w:r>
          </w:p>
        </w:tc>
        <w:tc>
          <w:tcPr>
            <w:tcW w:w="2342" w:type="dxa"/>
            <w:tcBorders>
              <w:top w:val="single" w:sz="8" w:space="0" w:color="000000"/>
              <w:left w:val="single" w:sz="8" w:space="0" w:color="000000"/>
              <w:bottom w:val="single" w:sz="8" w:space="0" w:color="000000"/>
              <w:right w:val="single" w:sz="8" w:space="0" w:color="000000"/>
            </w:tcBorders>
          </w:tcPr>
          <w:p>
            <w:pPr>
              <w:pStyle w:val="Corpodeltesto"/>
              <w:widowControl w:val="false"/>
              <w:spacing w:before="0" w:after="120"/>
              <w:rPr>
                <w:rFonts w:ascii="Arial" w:hAnsi="Arial"/>
              </w:rPr>
            </w:pPr>
            <w:r>
              <w:rPr>
                <w:rFonts w:ascii="Arial" w:hAnsi="Arial"/>
              </w:rPr>
              <w:t>94.555,64</w:t>
            </w:r>
          </w:p>
        </w:tc>
      </w:tr>
      <w:tr>
        <w:trPr>
          <w:trHeight w:val="482" w:hRule="atLeast"/>
        </w:trPr>
        <w:tc>
          <w:tcPr>
            <w:tcW w:w="4580" w:type="dxa"/>
            <w:tcBorders>
              <w:top w:val="single" w:sz="8" w:space="0" w:color="000000"/>
              <w:left w:val="single" w:sz="8" w:space="0" w:color="000000"/>
              <w:bottom w:val="single" w:sz="8" w:space="0" w:color="000000"/>
              <w:right w:val="single" w:sz="8" w:space="0" w:color="000000"/>
            </w:tcBorders>
          </w:tcPr>
          <w:p>
            <w:pPr>
              <w:pStyle w:val="Corpodeltesto"/>
              <w:widowControl w:val="false"/>
              <w:spacing w:before="0" w:after="120"/>
              <w:rPr>
                <w:rFonts w:ascii="Arial" w:hAnsi="Arial"/>
              </w:rPr>
            </w:pPr>
            <w:r>
              <w:rPr>
                <w:rFonts w:ascii="Arial" w:hAnsi="Arial"/>
                <w:w w:val="95"/>
              </w:rPr>
              <w:t>Altre</w:t>
            </w:r>
            <w:r>
              <w:rPr>
                <w:rFonts w:ascii="Arial" w:hAnsi="Arial"/>
                <w:spacing w:val="-2"/>
                <w:w w:val="95"/>
              </w:rPr>
              <w:t xml:space="preserve"> </w:t>
            </w:r>
            <w:r>
              <w:rPr>
                <w:rFonts w:ascii="Arial" w:hAnsi="Arial"/>
                <w:w w:val="95"/>
              </w:rPr>
              <w:t>spese</w:t>
            </w:r>
            <w:r>
              <w:rPr>
                <w:rFonts w:ascii="Arial" w:hAnsi="Arial"/>
                <w:spacing w:val="2"/>
                <w:w w:val="95"/>
              </w:rPr>
              <w:t xml:space="preserve"> </w:t>
            </w:r>
            <w:r>
              <w:rPr>
                <w:rFonts w:ascii="Arial" w:hAnsi="Arial"/>
                <w:w w:val="95"/>
              </w:rPr>
              <w:t>finanziate</w:t>
            </w:r>
            <w:r>
              <w:rPr>
                <w:rFonts w:ascii="Arial" w:hAnsi="Arial"/>
                <w:spacing w:val="1"/>
                <w:w w:val="95"/>
              </w:rPr>
              <w:t xml:space="preserve"> </w:t>
            </w:r>
            <w:r>
              <w:rPr>
                <w:rFonts w:ascii="Arial" w:hAnsi="Arial"/>
                <w:w w:val="95"/>
              </w:rPr>
              <w:t>da</w:t>
            </w:r>
            <w:r>
              <w:rPr>
                <w:rFonts w:ascii="Arial" w:hAnsi="Arial"/>
                <w:spacing w:val="4"/>
                <w:w w:val="95"/>
              </w:rPr>
              <w:t xml:space="preserve"> </w:t>
            </w:r>
            <w:r>
              <w:rPr>
                <w:rFonts w:ascii="Arial" w:hAnsi="Arial"/>
                <w:w w:val="95"/>
              </w:rPr>
              <w:t>entrate</w:t>
            </w:r>
            <w:r>
              <w:rPr>
                <w:rFonts w:ascii="Arial" w:hAnsi="Arial"/>
                <w:spacing w:val="3"/>
                <w:w w:val="95"/>
              </w:rPr>
              <w:t xml:space="preserve"> </w:t>
            </w:r>
            <w:r>
              <w:rPr>
                <w:rFonts w:ascii="Arial" w:hAnsi="Arial"/>
                <w:w w:val="95"/>
              </w:rPr>
              <w:t>vincolate di parte</w:t>
            </w:r>
            <w:r>
              <w:rPr>
                <w:rFonts w:ascii="Arial" w:hAnsi="Arial"/>
                <w:spacing w:val="-44"/>
                <w:w w:val="95"/>
              </w:rPr>
              <w:t xml:space="preserve"> </w:t>
            </w:r>
            <w:r>
              <w:rPr>
                <w:rFonts w:ascii="Arial" w:hAnsi="Arial"/>
              </w:rPr>
              <w:t>corrente</w:t>
            </w:r>
          </w:p>
        </w:tc>
        <w:tc>
          <w:tcPr>
            <w:tcW w:w="2342" w:type="dxa"/>
            <w:tcBorders>
              <w:top w:val="single" w:sz="8" w:space="0" w:color="000000"/>
              <w:left w:val="single" w:sz="8" w:space="0" w:color="000000"/>
              <w:bottom w:val="single" w:sz="8" w:space="0" w:color="000000"/>
              <w:right w:val="single" w:sz="8" w:space="0" w:color="000000"/>
            </w:tcBorders>
          </w:tcPr>
          <w:p>
            <w:pPr>
              <w:pStyle w:val="Corpodeltesto"/>
              <w:widowControl w:val="false"/>
              <w:spacing w:before="0" w:after="120"/>
              <w:rPr>
                <w:rFonts w:ascii="Arial" w:hAnsi="Arial"/>
              </w:rPr>
            </w:pPr>
            <w:r>
              <w:rPr>
                <w:rFonts w:ascii="Arial" w:hAnsi="Arial"/>
              </w:rPr>
              <w:t>0,00</w:t>
            </w:r>
          </w:p>
        </w:tc>
      </w:tr>
      <w:tr>
        <w:trPr>
          <w:trHeight w:val="251" w:hRule="atLeast"/>
        </w:trPr>
        <w:tc>
          <w:tcPr>
            <w:tcW w:w="4580" w:type="dxa"/>
            <w:tcBorders>
              <w:top w:val="single" w:sz="8" w:space="0" w:color="000000"/>
              <w:left w:val="single" w:sz="8" w:space="0" w:color="000000"/>
              <w:bottom w:val="single" w:sz="8" w:space="0" w:color="000000"/>
              <w:right w:val="single" w:sz="8" w:space="0" w:color="000000"/>
            </w:tcBorders>
          </w:tcPr>
          <w:p>
            <w:pPr>
              <w:pStyle w:val="Corpodeltesto"/>
              <w:widowControl w:val="false"/>
              <w:spacing w:before="0" w:after="120"/>
              <w:rPr>
                <w:rFonts w:ascii="Arial" w:hAnsi="Arial"/>
              </w:rPr>
            </w:pPr>
            <w:r>
              <w:rPr>
                <w:rFonts w:ascii="Arial" w:hAnsi="Arial"/>
              </w:rPr>
              <w:t>Altro</w:t>
            </w:r>
            <w:r>
              <w:rPr>
                <w:rFonts w:ascii="Arial" w:hAnsi="Arial"/>
                <w:spacing w:val="21"/>
              </w:rPr>
              <w:t xml:space="preserve"> </w:t>
            </w:r>
            <w:r>
              <w:rPr>
                <w:rFonts w:ascii="Arial" w:hAnsi="Arial"/>
              </w:rPr>
              <w:t>***</w:t>
            </w:r>
          </w:p>
        </w:tc>
        <w:tc>
          <w:tcPr>
            <w:tcW w:w="2342" w:type="dxa"/>
            <w:tcBorders>
              <w:top w:val="single" w:sz="8" w:space="0" w:color="000000"/>
              <w:left w:val="single" w:sz="8" w:space="0" w:color="000000"/>
              <w:bottom w:val="single" w:sz="8" w:space="0" w:color="000000"/>
              <w:right w:val="single" w:sz="8" w:space="0" w:color="000000"/>
            </w:tcBorders>
          </w:tcPr>
          <w:p>
            <w:pPr>
              <w:pStyle w:val="Corpodeltesto"/>
              <w:widowControl w:val="false"/>
              <w:spacing w:before="0" w:after="120"/>
              <w:rPr>
                <w:rFonts w:ascii="Arial" w:hAnsi="Arial"/>
              </w:rPr>
            </w:pPr>
            <w:r>
              <w:rPr>
                <w:rFonts w:ascii="Arial" w:hAnsi="Arial"/>
              </w:rPr>
              <w:t>151.705,00</w:t>
            </w:r>
          </w:p>
        </w:tc>
      </w:tr>
      <w:tr>
        <w:trPr>
          <w:trHeight w:val="261" w:hRule="atLeast"/>
        </w:trPr>
        <w:tc>
          <w:tcPr>
            <w:tcW w:w="4580" w:type="dxa"/>
            <w:tcBorders>
              <w:top w:val="single" w:sz="8" w:space="0" w:color="000000"/>
              <w:left w:val="single" w:sz="8" w:space="0" w:color="000000"/>
              <w:bottom w:val="single" w:sz="8" w:space="0" w:color="000000"/>
              <w:right w:val="single" w:sz="8" w:space="0" w:color="000000"/>
            </w:tcBorders>
          </w:tcPr>
          <w:p>
            <w:pPr>
              <w:pStyle w:val="Corpodeltesto"/>
              <w:widowControl w:val="false"/>
              <w:spacing w:before="0" w:after="120"/>
              <w:rPr>
                <w:rFonts w:ascii="Arial" w:hAnsi="Arial"/>
              </w:rPr>
            </w:pPr>
            <w:r>
              <w:rPr>
                <w:rFonts w:ascii="Arial" w:hAnsi="Arial"/>
                <w:b/>
                <w:w w:val="95"/>
              </w:rPr>
              <w:t>Totale</w:t>
            </w:r>
            <w:r>
              <w:rPr>
                <w:rFonts w:ascii="Arial" w:hAnsi="Arial"/>
                <w:b/>
                <w:spacing w:val="-5"/>
                <w:w w:val="95"/>
              </w:rPr>
              <w:t xml:space="preserve"> </w:t>
            </w:r>
            <w:r>
              <w:rPr>
                <w:rFonts w:ascii="Arial" w:hAnsi="Arial"/>
                <w:b/>
                <w:w w:val="95"/>
              </w:rPr>
              <w:t>FPV</w:t>
            </w:r>
            <w:r>
              <w:rPr>
                <w:rFonts w:ascii="Arial" w:hAnsi="Arial"/>
                <w:b/>
                <w:spacing w:val="-2"/>
                <w:w w:val="95"/>
              </w:rPr>
              <w:t xml:space="preserve"> </w:t>
            </w:r>
            <w:r>
              <w:rPr>
                <w:rFonts w:ascii="Arial" w:hAnsi="Arial"/>
                <w:b/>
                <w:w w:val="95"/>
              </w:rPr>
              <w:t>2024</w:t>
            </w:r>
            <w:r>
              <w:rPr>
                <w:rFonts w:ascii="Arial" w:hAnsi="Arial"/>
                <w:b/>
                <w:spacing w:val="-5"/>
                <w:w w:val="95"/>
              </w:rPr>
              <w:t xml:space="preserve"> </w:t>
            </w:r>
            <w:r>
              <w:rPr>
                <w:rFonts w:ascii="Arial" w:hAnsi="Arial"/>
                <w:b/>
                <w:w w:val="95"/>
              </w:rPr>
              <w:t>spesa</w:t>
            </w:r>
            <w:r>
              <w:rPr>
                <w:rFonts w:ascii="Arial" w:hAnsi="Arial"/>
                <w:b/>
                <w:spacing w:val="-4"/>
                <w:w w:val="95"/>
              </w:rPr>
              <w:t xml:space="preserve"> </w:t>
            </w:r>
            <w:r>
              <w:rPr>
                <w:rFonts w:ascii="Arial" w:hAnsi="Arial"/>
                <w:b/>
                <w:w w:val="95"/>
              </w:rPr>
              <w:t>corrente</w:t>
            </w:r>
          </w:p>
        </w:tc>
        <w:tc>
          <w:tcPr>
            <w:tcW w:w="2342" w:type="dxa"/>
            <w:tcBorders>
              <w:top w:val="single" w:sz="8" w:space="0" w:color="000000"/>
              <w:left w:val="single" w:sz="8" w:space="0" w:color="000000"/>
              <w:bottom w:val="single" w:sz="8" w:space="0" w:color="000000"/>
              <w:right w:val="single" w:sz="8" w:space="0" w:color="000000"/>
            </w:tcBorders>
            <w:shd w:fill="B6DDE7" w:val="clear"/>
          </w:tcPr>
          <w:p>
            <w:pPr>
              <w:pStyle w:val="Corpodeltesto"/>
              <w:widowControl w:val="false"/>
              <w:spacing w:before="0" w:after="120"/>
              <w:rPr>
                <w:rFonts w:ascii="Arial" w:hAnsi="Arial"/>
              </w:rPr>
            </w:pPr>
            <w:r>
              <w:rPr>
                <w:rFonts w:ascii="Arial" w:hAnsi="Arial"/>
              </w:rPr>
              <w:t>741.351,12</w:t>
            </w:r>
          </w:p>
        </w:tc>
      </w:tr>
    </w:tbl>
    <w:p>
      <w:pPr>
        <w:pStyle w:val="Corpodeltesto"/>
        <w:rPr>
          <w:rFonts w:ascii="Arial" w:hAnsi="Arial"/>
          <w:color w:val="auto"/>
          <w:sz w:val="22"/>
          <w:szCs w:val="22"/>
        </w:rPr>
      </w:pPr>
      <w:r>
        <w:rPr>
          <w:rFonts w:ascii="Arial" w:hAnsi="Arial"/>
          <w:color w:val="auto"/>
          <w:sz w:val="22"/>
          <w:szCs w:val="22"/>
        </w:rPr>
      </w:r>
    </w:p>
    <w:p>
      <w:pPr>
        <w:pStyle w:val="Corpodeltesto"/>
        <w:rPr>
          <w:rFonts w:ascii="Arial" w:hAnsi="Arial"/>
          <w:color w:val="auto"/>
          <w:sz w:val="22"/>
          <w:szCs w:val="22"/>
        </w:rPr>
      </w:pPr>
      <w:r>
        <w:rPr>
          <w:rFonts w:ascii="Arial" w:hAnsi="Arial"/>
          <w:color w:val="auto"/>
          <w:sz w:val="22"/>
          <w:szCs w:val="22"/>
        </w:rPr>
      </w:r>
    </w:p>
    <w:p>
      <w:pPr>
        <w:pStyle w:val="Corpodeltesto"/>
        <w:spacing w:before="9" w:after="0"/>
        <w:rPr>
          <w:rFonts w:ascii="Arial" w:hAnsi="Arial"/>
          <w:color w:val="auto"/>
          <w:sz w:val="22"/>
          <w:szCs w:val="22"/>
        </w:rPr>
      </w:pPr>
      <w:r>
        <w:rPr>
          <w:rFonts w:ascii="Arial" w:hAnsi="Arial"/>
          <w:color w:val="auto"/>
          <w:sz w:val="22"/>
          <w:szCs w:val="22"/>
        </w:rPr>
      </w:r>
    </w:p>
    <w:p>
      <w:pPr>
        <w:pStyle w:val="Normal"/>
        <w:widowControl w:val="false"/>
        <w:suppressAutoHyphens w:val="true"/>
        <w:bidi w:val="0"/>
        <w:spacing w:lineRule="auto" w:line="403" w:before="56" w:after="0"/>
        <w:ind w:left="170" w:right="-57" w:hanging="0"/>
        <w:jc w:val="both"/>
        <w:rPr>
          <w:rFonts w:ascii="Arial" w:hAnsi="Arial"/>
          <w:color w:val="auto"/>
          <w:sz w:val="22"/>
          <w:szCs w:val="22"/>
        </w:rPr>
      </w:pPr>
      <w:r>
        <w:rPr>
          <w:rFonts w:ascii="Arial" w:hAnsi="Arial"/>
          <w:color w:val="auto"/>
          <w:sz w:val="22"/>
          <w:szCs w:val="22"/>
        </w:rPr>
      </w:r>
    </w:p>
    <w:p>
      <w:pPr>
        <w:pStyle w:val="Normal"/>
        <w:widowControl w:val="false"/>
        <w:suppressAutoHyphens w:val="true"/>
        <w:bidi w:val="0"/>
        <w:spacing w:lineRule="auto" w:line="403" w:before="56" w:after="0"/>
        <w:ind w:left="170" w:right="-57" w:hanging="0"/>
        <w:jc w:val="both"/>
        <w:rPr>
          <w:sz w:val="16"/>
          <w:szCs w:val="16"/>
        </w:rPr>
      </w:pPr>
      <w:r>
        <w:rPr>
          <w:rFonts w:ascii="Arial" w:hAnsi="Arial"/>
          <w:b/>
          <w:i/>
          <w:color w:val="auto"/>
          <w:sz w:val="16"/>
          <w:szCs w:val="16"/>
        </w:rPr>
        <w:t>(*)</w:t>
      </w:r>
      <w:r>
        <w:rPr>
          <w:rFonts w:ascii="Arial" w:hAnsi="Arial"/>
          <w:b/>
          <w:i/>
          <w:color w:val="auto"/>
          <w:spacing w:val="-8"/>
          <w:sz w:val="16"/>
          <w:szCs w:val="16"/>
        </w:rPr>
        <w:t xml:space="preserve"> spese per il personale dipendente, come p</w:t>
      </w:r>
      <w:r>
        <w:rPr>
          <w:rFonts w:ascii="Arial" w:hAnsi="Arial"/>
          <w:b/>
          <w:i/>
          <w:color w:val="auto"/>
          <w:sz w:val="16"/>
          <w:szCs w:val="16"/>
        </w:rPr>
        <w:t>remialità</w:t>
      </w:r>
      <w:r>
        <w:rPr>
          <w:rFonts w:ascii="Arial" w:hAnsi="Arial"/>
          <w:b/>
          <w:i/>
          <w:color w:val="auto"/>
          <w:spacing w:val="-7"/>
          <w:sz w:val="16"/>
          <w:szCs w:val="16"/>
        </w:rPr>
        <w:t xml:space="preserve"> </w:t>
      </w:r>
      <w:r>
        <w:rPr>
          <w:rFonts w:ascii="Arial" w:hAnsi="Arial"/>
          <w:b/>
          <w:i/>
          <w:color w:val="auto"/>
          <w:sz w:val="16"/>
          <w:szCs w:val="16"/>
        </w:rPr>
        <w:t>e</w:t>
      </w:r>
      <w:r>
        <w:rPr>
          <w:rFonts w:ascii="Arial" w:hAnsi="Arial"/>
          <w:b/>
          <w:i/>
          <w:color w:val="auto"/>
          <w:spacing w:val="-8"/>
          <w:sz w:val="16"/>
          <w:szCs w:val="16"/>
        </w:rPr>
        <w:t xml:space="preserve"> </w:t>
      </w:r>
      <w:r>
        <w:rPr>
          <w:rFonts w:ascii="Arial" w:hAnsi="Arial"/>
          <w:b/>
          <w:i/>
          <w:color w:val="auto"/>
          <w:sz w:val="16"/>
          <w:szCs w:val="16"/>
        </w:rPr>
        <w:t>trattamento</w:t>
      </w:r>
      <w:r>
        <w:rPr>
          <w:rFonts w:ascii="Arial" w:hAnsi="Arial"/>
          <w:b/>
          <w:i/>
          <w:color w:val="auto"/>
          <w:spacing w:val="-5"/>
          <w:sz w:val="16"/>
          <w:szCs w:val="16"/>
        </w:rPr>
        <w:t xml:space="preserve"> a</w:t>
      </w:r>
      <w:r>
        <w:rPr>
          <w:rFonts w:ascii="Arial" w:hAnsi="Arial"/>
          <w:b/>
          <w:i/>
          <w:color w:val="auto"/>
          <w:sz w:val="16"/>
          <w:szCs w:val="16"/>
        </w:rPr>
        <w:t>ccessorio</w:t>
      </w:r>
      <w:r>
        <w:rPr>
          <w:rFonts w:ascii="Arial" w:hAnsi="Arial"/>
          <w:b/>
          <w:i/>
          <w:color w:val="auto"/>
          <w:spacing w:val="-6"/>
          <w:sz w:val="16"/>
          <w:szCs w:val="16"/>
        </w:rPr>
        <w:t xml:space="preserve"> </w:t>
      </w:r>
      <w:r>
        <w:rPr>
          <w:rFonts w:ascii="Arial" w:hAnsi="Arial"/>
          <w:b/>
          <w:i/>
          <w:color w:val="auto"/>
          <w:sz w:val="16"/>
          <w:szCs w:val="16"/>
        </w:rPr>
        <w:t>reimputato</w:t>
      </w:r>
      <w:r>
        <w:rPr>
          <w:rFonts w:ascii="Arial" w:hAnsi="Arial"/>
          <w:b/>
          <w:i/>
          <w:color w:val="auto"/>
          <w:spacing w:val="-6"/>
          <w:sz w:val="16"/>
          <w:szCs w:val="16"/>
        </w:rPr>
        <w:t xml:space="preserve"> </w:t>
      </w:r>
      <w:r>
        <w:rPr>
          <w:rFonts w:ascii="Arial" w:hAnsi="Arial"/>
          <w:b/>
          <w:i/>
          <w:color w:val="auto"/>
          <w:sz w:val="16"/>
          <w:szCs w:val="16"/>
        </w:rPr>
        <w:t>su</w:t>
      </w:r>
      <w:r>
        <w:rPr>
          <w:rFonts w:ascii="Arial" w:hAnsi="Arial"/>
          <w:b/>
          <w:i/>
          <w:color w:val="auto"/>
          <w:spacing w:val="-7"/>
          <w:sz w:val="16"/>
          <w:szCs w:val="16"/>
        </w:rPr>
        <w:t xml:space="preserve"> </w:t>
      </w:r>
      <w:r>
        <w:rPr>
          <w:rFonts w:ascii="Arial" w:hAnsi="Arial"/>
          <w:b/>
          <w:i/>
          <w:color w:val="auto"/>
          <w:sz w:val="16"/>
          <w:szCs w:val="16"/>
        </w:rPr>
        <w:t>anno</w:t>
      </w:r>
      <w:r>
        <w:rPr>
          <w:rFonts w:ascii="Arial" w:hAnsi="Arial"/>
          <w:b/>
          <w:i/>
          <w:color w:val="auto"/>
          <w:spacing w:val="-7"/>
          <w:sz w:val="16"/>
          <w:szCs w:val="16"/>
        </w:rPr>
        <w:t xml:space="preserve"> </w:t>
      </w:r>
      <w:r>
        <w:rPr>
          <w:rFonts w:ascii="Arial" w:hAnsi="Arial"/>
          <w:b/>
          <w:i/>
          <w:color w:val="auto"/>
          <w:sz w:val="16"/>
          <w:szCs w:val="16"/>
        </w:rPr>
        <w:t>successivo;</w:t>
      </w:r>
      <w:r>
        <w:rPr>
          <w:rFonts w:ascii="Arial" w:hAnsi="Arial"/>
          <w:b/>
          <w:i/>
          <w:color w:val="auto"/>
          <w:spacing w:val="-47"/>
          <w:sz w:val="16"/>
          <w:szCs w:val="16"/>
        </w:rPr>
        <w:t xml:space="preserve"> </w:t>
      </w:r>
    </w:p>
    <w:p>
      <w:pPr>
        <w:pStyle w:val="Normal"/>
        <w:widowControl w:val="false"/>
        <w:suppressAutoHyphens w:val="true"/>
        <w:bidi w:val="0"/>
        <w:spacing w:lineRule="auto" w:line="403" w:before="56" w:after="0"/>
        <w:ind w:left="170" w:right="-57" w:hanging="0"/>
        <w:jc w:val="both"/>
        <w:rPr>
          <w:sz w:val="16"/>
          <w:szCs w:val="16"/>
        </w:rPr>
      </w:pPr>
      <w:r>
        <w:rPr>
          <w:rFonts w:ascii="Arial" w:hAnsi="Arial"/>
          <w:b/>
          <w:i/>
          <w:color w:val="auto"/>
          <w:sz w:val="16"/>
          <w:szCs w:val="16"/>
        </w:rPr>
        <w:t>(**)</w:t>
      </w:r>
      <w:r>
        <w:rPr>
          <w:rFonts w:ascii="Arial" w:hAnsi="Arial"/>
          <w:b/>
          <w:i/>
          <w:color w:val="auto"/>
          <w:spacing w:val="-2"/>
          <w:sz w:val="16"/>
          <w:szCs w:val="16"/>
        </w:rPr>
        <w:t xml:space="preserve"> </w:t>
      </w:r>
      <w:r>
        <w:rPr>
          <w:rFonts w:ascii="Arial" w:hAnsi="Arial"/>
          <w:b/>
          <w:i/>
          <w:color w:val="auto"/>
          <w:sz w:val="16"/>
          <w:szCs w:val="16"/>
        </w:rPr>
        <w:t>incarichi</w:t>
      </w:r>
      <w:r>
        <w:rPr>
          <w:rFonts w:ascii="Arial" w:hAnsi="Arial"/>
          <w:b/>
          <w:i/>
          <w:color w:val="auto"/>
          <w:spacing w:val="-2"/>
          <w:sz w:val="16"/>
          <w:szCs w:val="16"/>
        </w:rPr>
        <w:t xml:space="preserve"> </w:t>
      </w:r>
      <w:r>
        <w:rPr>
          <w:rFonts w:ascii="Arial" w:hAnsi="Arial"/>
          <w:b/>
          <w:i/>
          <w:color w:val="auto"/>
          <w:sz w:val="16"/>
          <w:szCs w:val="16"/>
        </w:rPr>
        <w:t>legali</w:t>
      </w:r>
      <w:r>
        <w:rPr>
          <w:rFonts w:ascii="Arial" w:hAnsi="Arial"/>
          <w:b/>
          <w:i/>
          <w:color w:val="auto"/>
          <w:spacing w:val="-2"/>
          <w:sz w:val="16"/>
          <w:szCs w:val="16"/>
        </w:rPr>
        <w:t xml:space="preserve"> </w:t>
      </w:r>
      <w:r>
        <w:rPr>
          <w:rFonts w:ascii="Arial" w:hAnsi="Arial"/>
          <w:b/>
          <w:i/>
          <w:color w:val="auto"/>
          <w:sz w:val="16"/>
          <w:szCs w:val="16"/>
        </w:rPr>
        <w:t>esterni</w:t>
      </w:r>
      <w:r>
        <w:rPr>
          <w:rFonts w:ascii="Arial" w:hAnsi="Arial"/>
          <w:b/>
          <w:i/>
          <w:color w:val="auto"/>
          <w:spacing w:val="-2"/>
          <w:sz w:val="16"/>
          <w:szCs w:val="16"/>
        </w:rPr>
        <w:t xml:space="preserve"> </w:t>
      </w:r>
      <w:r>
        <w:rPr>
          <w:rFonts w:ascii="Arial" w:hAnsi="Arial"/>
          <w:b/>
          <w:i/>
          <w:color w:val="auto"/>
          <w:sz w:val="16"/>
          <w:szCs w:val="16"/>
        </w:rPr>
        <w:t>su</w:t>
      </w:r>
      <w:r>
        <w:rPr>
          <w:rFonts w:ascii="Arial" w:hAnsi="Arial"/>
          <w:b/>
          <w:i/>
          <w:color w:val="auto"/>
          <w:spacing w:val="-2"/>
          <w:sz w:val="16"/>
          <w:szCs w:val="16"/>
        </w:rPr>
        <w:t xml:space="preserve"> </w:t>
      </w:r>
      <w:r>
        <w:rPr>
          <w:rFonts w:ascii="Arial" w:hAnsi="Arial"/>
          <w:b/>
          <w:i/>
          <w:color w:val="auto"/>
          <w:sz w:val="16"/>
          <w:szCs w:val="16"/>
        </w:rPr>
        <w:t>contenziosi</w:t>
      </w:r>
      <w:r>
        <w:rPr>
          <w:rFonts w:ascii="Arial" w:hAnsi="Arial"/>
          <w:b/>
          <w:i/>
          <w:color w:val="auto"/>
          <w:spacing w:val="-1"/>
          <w:sz w:val="16"/>
          <w:szCs w:val="16"/>
        </w:rPr>
        <w:t xml:space="preserve"> </w:t>
      </w:r>
      <w:r>
        <w:rPr>
          <w:rFonts w:ascii="Arial" w:hAnsi="Arial"/>
          <w:b/>
          <w:i/>
          <w:color w:val="auto"/>
          <w:sz w:val="16"/>
          <w:szCs w:val="16"/>
        </w:rPr>
        <w:t>ultrannuali;</w:t>
      </w:r>
    </w:p>
    <w:p>
      <w:pPr>
        <w:pStyle w:val="Normal"/>
        <w:spacing w:lineRule="auto" w:line="259"/>
        <w:ind w:left="195" w:right="0" w:hanging="0"/>
        <w:jc w:val="both"/>
        <w:rPr>
          <w:sz w:val="16"/>
          <w:szCs w:val="16"/>
        </w:rPr>
      </w:pPr>
      <w:r>
        <w:rPr>
          <w:rFonts w:ascii="Arial" w:hAnsi="Arial"/>
          <w:b/>
          <w:i/>
          <w:color w:val="auto"/>
          <w:sz w:val="16"/>
          <w:szCs w:val="16"/>
        </w:rPr>
        <w:t>(***)</w:t>
      </w:r>
      <w:r>
        <w:rPr>
          <w:rFonts w:ascii="Arial" w:hAnsi="Arial"/>
          <w:b/>
          <w:i/>
          <w:color w:val="auto"/>
          <w:spacing w:val="31"/>
          <w:sz w:val="16"/>
          <w:szCs w:val="16"/>
        </w:rPr>
        <w:t xml:space="preserve"> </w:t>
      </w:r>
      <w:r>
        <w:rPr>
          <w:rFonts w:ascii="Arial" w:hAnsi="Arial"/>
          <w:b/>
          <w:i/>
          <w:color w:val="auto"/>
          <w:sz w:val="16"/>
          <w:szCs w:val="16"/>
        </w:rPr>
        <w:t>reimputazioni</w:t>
      </w:r>
      <w:r>
        <w:rPr>
          <w:rFonts w:ascii="Arial" w:hAnsi="Arial"/>
          <w:b/>
          <w:i/>
          <w:color w:val="auto"/>
          <w:spacing w:val="29"/>
          <w:sz w:val="16"/>
          <w:szCs w:val="16"/>
        </w:rPr>
        <w:t xml:space="preserve"> </w:t>
      </w:r>
      <w:r>
        <w:rPr>
          <w:rFonts w:ascii="Arial" w:hAnsi="Arial"/>
          <w:b/>
          <w:i/>
          <w:color w:val="auto"/>
          <w:sz w:val="16"/>
          <w:szCs w:val="16"/>
        </w:rPr>
        <w:t>di</w:t>
      </w:r>
      <w:r>
        <w:rPr>
          <w:rFonts w:ascii="Arial" w:hAnsi="Arial"/>
          <w:b/>
          <w:i/>
          <w:color w:val="auto"/>
          <w:spacing w:val="31"/>
          <w:sz w:val="16"/>
          <w:szCs w:val="16"/>
        </w:rPr>
        <w:t xml:space="preserve"> </w:t>
      </w:r>
      <w:r>
        <w:rPr>
          <w:rFonts w:ascii="Arial" w:hAnsi="Arial"/>
          <w:b/>
          <w:i/>
          <w:color w:val="auto"/>
          <w:sz w:val="16"/>
          <w:szCs w:val="16"/>
        </w:rPr>
        <w:t>impegni</w:t>
      </w:r>
      <w:r>
        <w:rPr>
          <w:rFonts w:ascii="Arial" w:hAnsi="Arial"/>
          <w:b/>
          <w:i/>
          <w:color w:val="auto"/>
          <w:spacing w:val="31"/>
          <w:sz w:val="16"/>
          <w:szCs w:val="16"/>
        </w:rPr>
        <w:t xml:space="preserve"> </w:t>
      </w:r>
      <w:r>
        <w:rPr>
          <w:rFonts w:ascii="Arial" w:hAnsi="Arial"/>
          <w:b/>
          <w:i/>
          <w:color w:val="auto"/>
          <w:sz w:val="16"/>
          <w:szCs w:val="16"/>
        </w:rPr>
        <w:t>che,</w:t>
      </w:r>
      <w:r>
        <w:rPr>
          <w:rFonts w:ascii="Arial" w:hAnsi="Arial"/>
          <w:b/>
          <w:i/>
          <w:color w:val="auto"/>
          <w:spacing w:val="31"/>
          <w:sz w:val="16"/>
          <w:szCs w:val="16"/>
        </w:rPr>
        <w:t xml:space="preserve"> </w:t>
      </w:r>
      <w:r>
        <w:rPr>
          <w:rFonts w:ascii="Arial" w:hAnsi="Arial"/>
          <w:b/>
          <w:i/>
          <w:color w:val="auto"/>
          <w:sz w:val="16"/>
          <w:szCs w:val="16"/>
        </w:rPr>
        <w:t>a</w:t>
      </w:r>
      <w:r>
        <w:rPr>
          <w:rFonts w:ascii="Arial" w:hAnsi="Arial"/>
          <w:b/>
          <w:i/>
          <w:color w:val="auto"/>
          <w:spacing w:val="29"/>
          <w:sz w:val="16"/>
          <w:szCs w:val="16"/>
        </w:rPr>
        <w:t xml:space="preserve"> </w:t>
      </w:r>
      <w:r>
        <w:rPr>
          <w:rFonts w:ascii="Arial" w:hAnsi="Arial"/>
          <w:b/>
          <w:i/>
          <w:color w:val="auto"/>
          <w:sz w:val="16"/>
          <w:szCs w:val="16"/>
        </w:rPr>
        <w:t>seguito</w:t>
      </w:r>
      <w:r>
        <w:rPr>
          <w:rFonts w:ascii="Arial" w:hAnsi="Arial"/>
          <w:b/>
          <w:i/>
          <w:color w:val="auto"/>
          <w:spacing w:val="32"/>
          <w:sz w:val="16"/>
          <w:szCs w:val="16"/>
        </w:rPr>
        <w:t xml:space="preserve"> </w:t>
      </w:r>
      <w:r>
        <w:rPr>
          <w:rFonts w:ascii="Arial" w:hAnsi="Arial"/>
          <w:b/>
          <w:i/>
          <w:color w:val="auto"/>
          <w:sz w:val="16"/>
          <w:szCs w:val="16"/>
        </w:rPr>
        <w:t>di</w:t>
      </w:r>
      <w:r>
        <w:rPr>
          <w:rFonts w:ascii="Arial" w:hAnsi="Arial"/>
          <w:b/>
          <w:i/>
          <w:color w:val="auto"/>
          <w:spacing w:val="29"/>
          <w:sz w:val="16"/>
          <w:szCs w:val="16"/>
        </w:rPr>
        <w:t xml:space="preserve"> </w:t>
      </w:r>
      <w:r>
        <w:rPr>
          <w:rFonts w:ascii="Arial" w:hAnsi="Arial"/>
          <w:b/>
          <w:i/>
          <w:color w:val="auto"/>
          <w:sz w:val="16"/>
          <w:szCs w:val="16"/>
        </w:rPr>
        <w:t>eventi</w:t>
      </w:r>
      <w:r>
        <w:rPr>
          <w:rFonts w:ascii="Arial" w:hAnsi="Arial"/>
          <w:b/>
          <w:i/>
          <w:color w:val="auto"/>
          <w:spacing w:val="31"/>
          <w:sz w:val="16"/>
          <w:szCs w:val="16"/>
        </w:rPr>
        <w:t xml:space="preserve"> </w:t>
      </w:r>
      <w:r>
        <w:rPr>
          <w:rFonts w:ascii="Arial" w:hAnsi="Arial"/>
          <w:b/>
          <w:i/>
          <w:color w:val="auto"/>
          <w:sz w:val="16"/>
          <w:szCs w:val="16"/>
        </w:rPr>
        <w:t>verificatisi</w:t>
      </w:r>
      <w:r>
        <w:rPr>
          <w:rFonts w:ascii="Arial" w:hAnsi="Arial"/>
          <w:b/>
          <w:i/>
          <w:color w:val="auto"/>
          <w:spacing w:val="31"/>
          <w:sz w:val="16"/>
          <w:szCs w:val="16"/>
        </w:rPr>
        <w:t xml:space="preserve"> </w:t>
      </w:r>
      <w:r>
        <w:rPr>
          <w:rFonts w:ascii="Arial" w:hAnsi="Arial"/>
          <w:b/>
          <w:i/>
          <w:color w:val="auto"/>
          <w:sz w:val="16"/>
          <w:szCs w:val="16"/>
        </w:rPr>
        <w:t>successivamente</w:t>
      </w:r>
      <w:r>
        <w:rPr>
          <w:rFonts w:ascii="Arial" w:hAnsi="Arial"/>
          <w:b/>
          <w:i/>
          <w:color w:val="auto"/>
          <w:spacing w:val="33"/>
          <w:sz w:val="16"/>
          <w:szCs w:val="16"/>
        </w:rPr>
        <w:t xml:space="preserve"> </w:t>
      </w:r>
      <w:r>
        <w:rPr>
          <w:rFonts w:ascii="Arial" w:hAnsi="Arial"/>
          <w:b/>
          <w:i/>
          <w:color w:val="auto"/>
          <w:sz w:val="16"/>
          <w:szCs w:val="16"/>
        </w:rPr>
        <w:t>alla</w:t>
      </w:r>
      <w:r>
        <w:rPr>
          <w:rFonts w:ascii="Arial" w:hAnsi="Arial"/>
          <w:b/>
          <w:i/>
          <w:color w:val="auto"/>
          <w:spacing w:val="29"/>
          <w:sz w:val="16"/>
          <w:szCs w:val="16"/>
        </w:rPr>
        <w:t xml:space="preserve"> </w:t>
      </w:r>
      <w:r>
        <w:rPr>
          <w:rFonts w:ascii="Arial" w:hAnsi="Arial"/>
          <w:b/>
          <w:i/>
          <w:color w:val="auto"/>
          <w:sz w:val="16"/>
          <w:szCs w:val="16"/>
        </w:rPr>
        <w:t>registrazione,</w:t>
      </w:r>
      <w:r>
        <w:rPr>
          <w:rFonts w:ascii="Arial" w:hAnsi="Arial"/>
          <w:b/>
          <w:i/>
          <w:color w:val="auto"/>
          <w:spacing w:val="1"/>
          <w:sz w:val="16"/>
          <w:szCs w:val="16"/>
        </w:rPr>
        <w:t xml:space="preserve"> </w:t>
      </w:r>
      <w:r>
        <w:rPr>
          <w:rFonts w:ascii="Arial" w:hAnsi="Arial"/>
          <w:b/>
          <w:i/>
          <w:color w:val="auto"/>
          <w:sz w:val="16"/>
          <w:szCs w:val="16"/>
        </w:rPr>
        <w:t>risultano</w:t>
      </w:r>
      <w:r>
        <w:rPr>
          <w:rFonts w:ascii="Arial" w:hAnsi="Arial"/>
          <w:b/>
          <w:i/>
          <w:color w:val="auto"/>
          <w:spacing w:val="-2"/>
          <w:sz w:val="16"/>
          <w:szCs w:val="16"/>
        </w:rPr>
        <w:t xml:space="preserve"> </w:t>
      </w:r>
      <w:r>
        <w:rPr>
          <w:rFonts w:ascii="Arial" w:hAnsi="Arial"/>
          <w:b/>
          <w:i/>
          <w:color w:val="auto"/>
          <w:sz w:val="16"/>
          <w:szCs w:val="16"/>
        </w:rPr>
        <w:t>non</w:t>
      </w:r>
      <w:r>
        <w:rPr>
          <w:rFonts w:ascii="Arial" w:hAnsi="Arial"/>
          <w:b/>
          <w:i/>
          <w:color w:val="auto"/>
          <w:spacing w:val="-2"/>
          <w:sz w:val="16"/>
          <w:szCs w:val="16"/>
        </w:rPr>
        <w:t xml:space="preserve"> </w:t>
      </w:r>
      <w:r>
        <w:rPr>
          <w:rFonts w:ascii="Arial" w:hAnsi="Arial"/>
          <w:b/>
          <w:i/>
          <w:color w:val="auto"/>
          <w:sz w:val="16"/>
          <w:szCs w:val="16"/>
        </w:rPr>
        <w:t>più</w:t>
      </w:r>
      <w:r>
        <w:rPr>
          <w:rFonts w:ascii="Arial" w:hAnsi="Arial"/>
          <w:b/>
          <w:i/>
          <w:color w:val="auto"/>
          <w:spacing w:val="-1"/>
          <w:sz w:val="16"/>
          <w:szCs w:val="16"/>
        </w:rPr>
        <w:t xml:space="preserve"> </w:t>
      </w:r>
      <w:r>
        <w:rPr>
          <w:rFonts w:ascii="Arial" w:hAnsi="Arial"/>
          <w:b/>
          <w:i/>
          <w:color w:val="auto"/>
          <w:sz w:val="16"/>
          <w:szCs w:val="16"/>
        </w:rPr>
        <w:t>esigibili</w:t>
      </w:r>
      <w:r>
        <w:rPr>
          <w:rFonts w:ascii="Arial" w:hAnsi="Arial"/>
          <w:b/>
          <w:i/>
          <w:color w:val="auto"/>
          <w:spacing w:val="-2"/>
          <w:sz w:val="16"/>
          <w:szCs w:val="16"/>
        </w:rPr>
        <w:t xml:space="preserve"> </w:t>
      </w:r>
      <w:r>
        <w:rPr>
          <w:rFonts w:ascii="Arial" w:hAnsi="Arial"/>
          <w:b/>
          <w:i/>
          <w:color w:val="auto"/>
          <w:sz w:val="16"/>
          <w:szCs w:val="16"/>
        </w:rPr>
        <w:t>nell’esercizio</w:t>
      </w:r>
      <w:r>
        <w:rPr>
          <w:rFonts w:ascii="Arial" w:hAnsi="Arial"/>
          <w:b/>
          <w:i/>
          <w:color w:val="auto"/>
          <w:spacing w:val="-1"/>
          <w:sz w:val="16"/>
          <w:szCs w:val="16"/>
        </w:rPr>
        <w:t xml:space="preserve"> </w:t>
      </w:r>
      <w:r>
        <w:rPr>
          <w:rFonts w:ascii="Arial" w:hAnsi="Arial"/>
          <w:b/>
          <w:i/>
          <w:color w:val="auto"/>
          <w:sz w:val="16"/>
          <w:szCs w:val="16"/>
        </w:rPr>
        <w:t>cui</w:t>
      </w:r>
      <w:r>
        <w:rPr>
          <w:rFonts w:ascii="Arial" w:hAnsi="Arial"/>
          <w:b/>
          <w:i/>
          <w:color w:val="auto"/>
          <w:spacing w:val="-1"/>
          <w:sz w:val="16"/>
          <w:szCs w:val="16"/>
        </w:rPr>
        <w:t xml:space="preserve"> </w:t>
      </w:r>
      <w:r>
        <w:rPr>
          <w:rFonts w:ascii="Arial" w:hAnsi="Arial"/>
          <w:b/>
          <w:i/>
          <w:color w:val="auto"/>
          <w:sz w:val="16"/>
          <w:szCs w:val="16"/>
        </w:rPr>
        <w:t>il</w:t>
      </w:r>
      <w:r>
        <w:rPr>
          <w:rFonts w:ascii="Arial" w:hAnsi="Arial"/>
          <w:b/>
          <w:i/>
          <w:color w:val="auto"/>
          <w:spacing w:val="-2"/>
          <w:sz w:val="16"/>
          <w:szCs w:val="16"/>
        </w:rPr>
        <w:t xml:space="preserve"> </w:t>
      </w:r>
      <w:r>
        <w:rPr>
          <w:rFonts w:ascii="Arial" w:hAnsi="Arial"/>
          <w:b/>
          <w:i/>
          <w:color w:val="auto"/>
          <w:sz w:val="16"/>
          <w:szCs w:val="16"/>
        </w:rPr>
        <w:t>rendiconto</w:t>
      </w:r>
      <w:r>
        <w:rPr>
          <w:rFonts w:ascii="Arial" w:hAnsi="Arial"/>
          <w:b/>
          <w:i/>
          <w:color w:val="auto"/>
          <w:spacing w:val="-1"/>
          <w:sz w:val="16"/>
          <w:szCs w:val="16"/>
        </w:rPr>
        <w:t xml:space="preserve"> </w:t>
      </w:r>
      <w:r>
        <w:rPr>
          <w:rFonts w:ascii="Arial" w:hAnsi="Arial"/>
          <w:b/>
          <w:i/>
          <w:color w:val="auto"/>
          <w:sz w:val="16"/>
          <w:szCs w:val="16"/>
        </w:rPr>
        <w:t>si</w:t>
      </w:r>
      <w:r>
        <w:rPr>
          <w:rFonts w:ascii="Arial" w:hAnsi="Arial"/>
          <w:b/>
          <w:i/>
          <w:color w:val="auto"/>
          <w:spacing w:val="-1"/>
          <w:sz w:val="16"/>
          <w:szCs w:val="16"/>
        </w:rPr>
        <w:t xml:space="preserve"> </w:t>
      </w:r>
      <w:r>
        <w:rPr>
          <w:rFonts w:ascii="Arial" w:hAnsi="Arial"/>
          <w:b/>
          <w:i/>
          <w:color w:val="auto"/>
          <w:sz w:val="16"/>
          <w:szCs w:val="16"/>
        </w:rPr>
        <w:t>riferisce.</w:t>
      </w:r>
    </w:p>
    <w:p>
      <w:pPr>
        <w:pStyle w:val="Corpodeltesto"/>
        <w:ind w:left="0" w:right="0" w:hanging="0"/>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jc w:val="center"/>
        <w:textAlignment w:val="baseline"/>
        <w:rPr>
          <w:rFonts w:ascii="Arial" w:hAnsi="Arial" w:eastAsia="Arial" w:cs="Arial"/>
          <w:color w:val="000000"/>
          <w:sz w:val="20"/>
          <w:szCs w:val="20"/>
          <w:u w:val="none" w:color="000000"/>
          <w:lang w:eastAsia="it-IT"/>
        </w:rPr>
      </w:pPr>
      <w:r>
        <w:rPr>
          <w:rFonts w:eastAsia="Arial" w:cs="Arial" w:ascii="Arial" w:hAnsi="Arial"/>
          <w:color w:val="000000"/>
          <w:sz w:val="20"/>
          <w:szCs w:val="20"/>
          <w:u w:val="none" w:color="000000"/>
          <w:lang w:eastAsia="it-IT"/>
        </w:rPr>
      </w:r>
    </w:p>
    <w:p>
      <w:pPr>
        <w:pStyle w:val="Normal"/>
        <w:widowControl w:val="false"/>
        <w:overflowPunct w:val="true"/>
        <w:spacing w:lineRule="auto" w:line="240" w:before="0" w:after="120"/>
        <w:textAlignment w:val="baseline"/>
        <w:rPr>
          <w:rFonts w:ascii="Arial" w:hAnsi="Arial" w:eastAsia="Times New Roman" w:cs="Times New Roman"/>
          <w:color w:val="auto"/>
          <w:szCs w:val="22"/>
          <w:lang w:eastAsia="it-IT"/>
        </w:rPr>
      </w:pPr>
      <w:r>
        <w:rPr>
          <w:rFonts w:eastAsia="Times New Roman" w:cs="Times New Roman" w:ascii="Arial" w:hAnsi="Arial"/>
          <w:color w:val="auto"/>
          <w:szCs w:val="22"/>
          <w:lang w:eastAsia="it-IT"/>
        </w:rPr>
        <w:t xml:space="preserve">Il FPV in spesa c/capitale </w:t>
      </w:r>
      <w:r>
        <w:rPr>
          <w:rFonts w:eastAsia="Times New Roman" w:cs="Times New Roman" w:ascii="Arial" w:hAnsi="Arial"/>
          <w:b/>
          <w:bCs/>
          <w:i/>
          <w:iCs/>
          <w:color w:val="auto"/>
          <w:szCs w:val="22"/>
          <w:lang w:eastAsia="it-IT"/>
        </w:rPr>
        <w:t xml:space="preserve">è stato </w:t>
      </w:r>
      <w:r>
        <w:rPr>
          <w:rFonts w:eastAsia="Times New Roman" w:cs="Times New Roman" w:ascii="Arial" w:hAnsi="Arial"/>
          <w:color w:val="auto"/>
          <w:szCs w:val="22"/>
          <w:lang w:eastAsia="it-IT"/>
        </w:rPr>
        <w:t>attivato in presenza di entrambe le seguenti condizioni: entrata esigibile e tipologia di spesa rientrante nelle ipotesi di cui al punto 5.4.9 del principio applicato della contabilità finanziaria alla luce degli aggiornamenti del DM 10 ottobre 2024.</w:t>
      </w:r>
    </w:p>
    <w:p>
      <w:pPr>
        <w:pStyle w:val="Normal"/>
        <w:widowControl w:val="false"/>
        <w:overflowPunct w:val="true"/>
        <w:spacing w:lineRule="auto" w:line="240" w:before="0" w:after="120"/>
        <w:textAlignment w:val="baseline"/>
        <w:rPr>
          <w:rFonts w:ascii="Arial" w:hAnsi="Arial" w:eastAsia="Times New Roman" w:cs="Times New Roman"/>
          <w:color w:val="auto"/>
          <w:szCs w:val="22"/>
          <w:lang w:eastAsia="it-IT"/>
        </w:rPr>
      </w:pPr>
      <w:r>
        <w:rPr>
          <w:rFonts w:eastAsia="Times New Roman" w:cs="Times New Roman"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Times New Roman"/>
          <w:color w:val="auto"/>
          <w:szCs w:val="22"/>
          <w:lang w:eastAsia="it-IT"/>
        </w:rPr>
      </w:pPr>
      <w:r>
        <w:rPr>
          <w:rFonts w:eastAsia="Times New Roman" w:cs="Times New Roman" w:ascii="Arial" w:hAnsi="Arial"/>
          <w:color w:val="auto"/>
          <w:szCs w:val="22"/>
          <w:lang w:eastAsia="it-IT"/>
        </w:rPr>
        <w:t xml:space="preserve">La re-imputazione degli impegni, secondo il criterio dell’esigibilità, coperti dal FPV determinato alla data del 1° gennaio 2025, </w:t>
      </w:r>
      <w:r>
        <w:rPr>
          <w:rFonts w:eastAsia="Times New Roman" w:cs="Times New Roman" w:ascii="Arial" w:hAnsi="Arial"/>
          <w:b/>
          <w:bCs/>
          <w:i/>
          <w:iCs/>
          <w:color w:val="auto"/>
          <w:szCs w:val="22"/>
          <w:lang w:eastAsia="it-IT"/>
        </w:rPr>
        <w:t xml:space="preserve">è  </w:t>
      </w:r>
      <w:r>
        <w:rPr>
          <w:rFonts w:eastAsia="Times New Roman" w:cs="Times New Roman" w:ascii="Arial" w:hAnsi="Arial"/>
          <w:color w:val="auto"/>
          <w:szCs w:val="22"/>
          <w:lang w:eastAsia="it-IT"/>
        </w:rPr>
        <w:t>conforme all’evoluzione dei cronoprogrammi di spesa.</w:t>
      </w:r>
    </w:p>
    <w:p>
      <w:pPr>
        <w:pStyle w:val="Normal"/>
        <w:widowControl w:val="false"/>
        <w:overflowPunct w:val="true"/>
        <w:spacing w:lineRule="auto" w:line="240" w:before="0" w:after="120"/>
        <w:textAlignment w:val="baseline"/>
        <w:rPr>
          <w:rFonts w:ascii="Arial" w:hAnsi="Arial" w:eastAsia="Times New Roman" w:cs="Times New Roman"/>
          <w:i/>
          <w:i/>
          <w:iCs/>
          <w:color w:val="auto"/>
          <w:szCs w:val="22"/>
          <w:lang w:eastAsia="it-IT"/>
        </w:rPr>
      </w:pPr>
      <w:r>
        <w:rPr>
          <w:rFonts w:eastAsia="Times New Roman" w:cs="Times New Roman" w:ascii="Arial" w:hAnsi="Arial"/>
          <w:i/>
          <w:iCs/>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Times New Roman"/>
          <w:color w:val="auto"/>
          <w:szCs w:val="22"/>
          <w:lang w:eastAsia="it-IT"/>
        </w:rPr>
      </w:pPr>
      <w:r>
        <w:rPr>
          <w:rFonts w:eastAsia="Times New Roman" w:cs="Times New Roman" w:ascii="Arial" w:hAnsi="Arial"/>
          <w:color w:val="auto"/>
          <w:szCs w:val="22"/>
          <w:lang w:eastAsia="it-IT"/>
        </w:rPr>
        <w:t xml:space="preserve">L’Organo di revisione ha verificato che le entrate esigibili che hanno finanziato spese di investimento prive, a chiusura dell’esercizio considerato, di obbligazioni giuridiche perfezionate e che non rientrano nelle fattispecie di cui al punto 5.4.9 (conservazione del fondo pluriennale vincolato) del Principio contabile della contabilità finanziaria, </w:t>
      </w:r>
      <w:r>
        <w:rPr>
          <w:rFonts w:eastAsia="Times New Roman" w:cs="Times New Roman" w:ascii="Arial" w:hAnsi="Arial"/>
          <w:b/>
          <w:bCs/>
          <w:i/>
          <w:iCs/>
          <w:color w:val="auto"/>
          <w:szCs w:val="22"/>
          <w:lang w:eastAsia="it-IT"/>
        </w:rPr>
        <w:t xml:space="preserve">sono </w:t>
      </w:r>
      <w:r>
        <w:rPr>
          <w:rFonts w:eastAsia="Times New Roman" w:cs="Times New Roman" w:ascii="Arial" w:hAnsi="Arial"/>
          <w:color w:val="auto"/>
          <w:szCs w:val="22"/>
          <w:lang w:eastAsia="it-IT"/>
        </w:rPr>
        <w:t>confluite, a seconda della fonte di finanziamento, nella corrispondente quota del risultato di amministrazione:</w:t>
      </w:r>
    </w:p>
    <w:p>
      <w:pPr>
        <w:pStyle w:val="Normal"/>
        <w:widowControl w:val="false"/>
        <w:overflowPunct w:val="true"/>
        <w:spacing w:lineRule="auto" w:line="240" w:before="0" w:after="120"/>
        <w:textAlignment w:val="baseline"/>
        <w:rPr>
          <w:rFonts w:ascii="Arial" w:hAnsi="Arial" w:eastAsia="Times New Roman" w:cs="Times New Roman"/>
          <w:color w:val="auto"/>
          <w:szCs w:val="22"/>
          <w:lang w:eastAsia="it-IT"/>
        </w:rPr>
      </w:pPr>
      <w:r>
        <w:rPr>
          <w:rFonts w:eastAsia="Times New Roman" w:cs="Times New Roman" w:ascii="Arial" w:hAnsi="Arial"/>
          <w:color w:val="auto"/>
          <w:szCs w:val="22"/>
          <w:lang w:eastAsia="it-IT"/>
        </w:rPr>
        <w:t>a) vincolato</w:t>
      </w:r>
    </w:p>
    <w:p>
      <w:pPr>
        <w:pStyle w:val="Normal"/>
        <w:widowControl w:val="false"/>
        <w:overflowPunct w:val="true"/>
        <w:spacing w:lineRule="auto" w:line="240" w:before="0" w:after="120"/>
        <w:textAlignment w:val="baseline"/>
        <w:rPr>
          <w:rFonts w:ascii="Arial" w:hAnsi="Arial" w:eastAsia="Times New Roman" w:cs="Times New Roman"/>
          <w:color w:val="auto"/>
          <w:szCs w:val="22"/>
          <w:lang w:eastAsia="it-IT"/>
        </w:rPr>
      </w:pPr>
      <w:r>
        <w:rPr>
          <w:rFonts w:eastAsia="Times New Roman" w:cs="Times New Roman" w:ascii="Arial" w:hAnsi="Arial"/>
          <w:color w:val="auto"/>
          <w:szCs w:val="22"/>
          <w:lang w:eastAsia="it-IT"/>
        </w:rPr>
        <w:t>b) destinato ad investimenti</w:t>
      </w:r>
    </w:p>
    <w:p>
      <w:pPr>
        <w:pStyle w:val="Normal"/>
        <w:widowControl w:val="false"/>
        <w:overflowPunct w:val="true"/>
        <w:spacing w:lineRule="auto" w:line="240" w:before="0" w:after="120"/>
        <w:textAlignment w:val="baseline"/>
        <w:rPr>
          <w:rFonts w:ascii="Arial" w:hAnsi="Arial" w:eastAsia="Times New Roman" w:cs="Times New Roman"/>
          <w:color w:val="auto"/>
          <w:szCs w:val="22"/>
          <w:lang w:eastAsia="it-IT"/>
        </w:rPr>
      </w:pPr>
      <w:r>
        <w:rPr>
          <w:rFonts w:eastAsia="Times New Roman" w:cs="Times New Roman" w:ascii="Arial" w:hAnsi="Arial"/>
          <w:color w:val="auto"/>
          <w:szCs w:val="22"/>
          <w:lang w:eastAsia="it-IT"/>
        </w:rPr>
        <w:t>c) libero</w:t>
      </w:r>
    </w:p>
    <w:p>
      <w:pPr>
        <w:pStyle w:val="Normal"/>
        <w:widowControl w:val="false"/>
        <w:overflowPunct w:val="true"/>
        <w:spacing w:lineRule="auto" w:line="240" w:before="0" w:after="120"/>
        <w:textAlignment w:val="baseline"/>
        <w:rPr>
          <w:rFonts w:ascii="Arial" w:hAnsi="Arial" w:eastAsia="Times New Roman" w:cs="Times New Roman"/>
          <w:b/>
          <w:b/>
          <w:bCs/>
          <w:i/>
          <w:i/>
          <w:iCs/>
          <w:color w:val="auto"/>
          <w:szCs w:val="22"/>
          <w:lang w:eastAsia="it-IT"/>
        </w:rPr>
      </w:pPr>
      <w:r>
        <w:rPr>
          <w:rFonts w:eastAsia="Times New Roman" w:cs="Times New Roman" w:ascii="Arial" w:hAnsi="Arial"/>
          <w:b/>
          <w:bCs/>
          <w:i/>
          <w:iCs/>
          <w:color w:val="auto"/>
          <w:szCs w:val="22"/>
          <w:lang w:eastAsia="it-IT"/>
        </w:rPr>
      </w:r>
    </w:p>
    <w:p>
      <w:pPr>
        <w:pStyle w:val="Normal"/>
        <w:rPr>
          <w:rFonts w:ascii="Arial" w:hAnsi="Arial"/>
          <w:color w:val="auto"/>
          <w:sz w:val="22"/>
          <w:szCs w:val="22"/>
        </w:rPr>
      </w:pPr>
      <w:r>
        <w:rPr>
          <w:rFonts w:eastAsia="Calibri" w:ascii="Arial" w:hAnsi="Arial"/>
          <w:color w:val="000000"/>
          <w:sz w:val="22"/>
          <w:szCs w:val="22"/>
          <w:shd w:fill="auto" w:val="clear"/>
        </w:rPr>
        <w:t>Si rileva che l</w:t>
      </w:r>
      <w:r>
        <w:rPr>
          <w:rFonts w:ascii="Arial" w:hAnsi="Arial"/>
          <w:color w:val="auto"/>
          <w:sz w:val="22"/>
          <w:szCs w:val="22"/>
        </w:rPr>
        <w:t xml:space="preserve">’operazione di riaccertamento ha determinato la riallocazione di entrate e di spese relativi a progetti PNRR che diverranno esigibili nell’esercizio 2025, nella seguente maniera: </w:t>
        <w:tab/>
      </w:r>
    </w:p>
    <w:p>
      <w:pPr>
        <w:pStyle w:val="Normal"/>
        <w:rPr>
          <w:rFonts w:ascii="Arial" w:hAnsi="Arial"/>
          <w:color w:val="auto"/>
          <w:sz w:val="22"/>
          <w:szCs w:val="22"/>
        </w:rPr>
      </w:pPr>
      <w:r>
        <w:rPr>
          <w:rFonts w:ascii="Arial" w:hAnsi="Arial"/>
          <w:color w:val="auto"/>
          <w:sz w:val="22"/>
          <w:szCs w:val="22"/>
        </w:rPr>
        <w:t xml:space="preserve">PARTE CORRENTE: </w:t>
      </w:r>
      <w:r>
        <w:rPr>
          <w:rFonts w:ascii="Arial" w:hAnsi="Arial"/>
          <w:b w:val="false"/>
          <w:bCs w:val="false"/>
          <w:color w:val="auto"/>
          <w:sz w:val="22"/>
          <w:szCs w:val="22"/>
        </w:rPr>
        <w:t>Euro 65.811,68;</w:t>
      </w:r>
    </w:p>
    <w:p>
      <w:pPr>
        <w:pStyle w:val="Normal"/>
        <w:rPr>
          <w:rFonts w:ascii="Arial" w:hAnsi="Arial"/>
          <w:color w:val="auto"/>
          <w:sz w:val="22"/>
          <w:szCs w:val="22"/>
        </w:rPr>
      </w:pPr>
      <w:r>
        <w:rPr>
          <w:rFonts w:ascii="Arial" w:hAnsi="Arial"/>
          <w:color w:val="auto"/>
          <w:sz w:val="22"/>
          <w:szCs w:val="22"/>
        </w:rPr>
        <w:t>PARTE CAPITALE: Euro 705.324,99;</w:t>
      </w:r>
    </w:p>
    <w:p>
      <w:pPr>
        <w:pStyle w:val="Normal"/>
        <w:widowControl w:val="false"/>
        <w:overflowPunct w:val="true"/>
        <w:spacing w:lineRule="auto" w:line="240" w:before="0" w:after="120"/>
        <w:textAlignment w:val="baseline"/>
        <w:rPr>
          <w:color w:val="auto" w:themeTint="bf"/>
          <w:highlight w:val="none"/>
          <w:shd w:fill="auto" w:val="clear"/>
        </w:rPr>
      </w:pPr>
      <w:r>
        <w:rPr>
          <w:rFonts w:eastAsia="Times New Roman" w:cs="Times New Roman" w:ascii="Arial" w:hAnsi="Arial"/>
          <w:color w:val="000000" w:themeTint="bf"/>
          <w:shd w:fill="auto" w:val="clear"/>
          <w:lang w:eastAsia="it-IT"/>
        </w:rPr>
        <w:t>- Sono presenti inoltre risorse derivanti dal PNRR nell’avanzo vincolato, relativamente alle entrate accertate e incassate nell’anno 2024 ma non impegnate;</w:t>
      </w:r>
    </w:p>
    <w:p>
      <w:pPr>
        <w:pStyle w:val="Normal"/>
        <w:widowControl w:val="false"/>
        <w:overflowPunct w:val="true"/>
        <w:spacing w:lineRule="auto" w:line="240" w:before="0" w:after="120"/>
        <w:textAlignment w:val="baseline"/>
        <w:rPr>
          <w:rFonts w:ascii="Arial" w:hAnsi="Arial" w:eastAsia="Times New Roman" w:cs="Times New Roman"/>
          <w:i/>
          <w:i/>
          <w:iCs/>
          <w:color w:val="auto"/>
          <w:sz w:val="24"/>
          <w:szCs w:val="24"/>
          <w:lang w:eastAsia="it-IT"/>
        </w:rPr>
      </w:pPr>
      <w:r>
        <w:rPr>
          <w:rFonts w:eastAsia="Times New Roman" w:cs="Times New Roman" w:ascii="Arial" w:hAnsi="Arial"/>
          <w:i/>
          <w:iCs/>
          <w:color w:val="auto"/>
          <w:sz w:val="24"/>
          <w:szCs w:val="24"/>
          <w:lang w:eastAsia="it-IT"/>
        </w:rPr>
      </w:r>
    </w:p>
    <w:p>
      <w:pPr>
        <w:pStyle w:val="Normal"/>
        <w:widowControl w:val="false"/>
        <w:overflowPunct w:val="true"/>
        <w:spacing w:lineRule="auto" w:line="240" w:before="0" w:after="120"/>
        <w:jc w:val="left"/>
        <w:textAlignment w:val="baseline"/>
        <w:rPr>
          <w:rStyle w:val="Annotationreference"/>
          <w:sz w:val="22"/>
          <w:szCs w:val="22"/>
        </w:rPr>
      </w:pPr>
      <w:r>
        <w:rPr>
          <w:sz w:val="22"/>
          <w:szCs w:val="22"/>
        </w:rPr>
      </w:r>
    </w:p>
    <w:p>
      <w:pPr>
        <w:pStyle w:val="Titolo2"/>
        <w:numPr>
          <w:ilvl w:val="1"/>
          <w:numId w:val="73"/>
        </w:numPr>
        <w:ind w:left="851" w:hanging="491"/>
        <w:rPr/>
      </w:pPr>
      <w:bookmarkStart w:id="30" w:name="_Toc192666974"/>
      <w:bookmarkStart w:id="31" w:name="_Toc130060185"/>
      <w:bookmarkStart w:id="32" w:name="_Toc130056242"/>
      <w:r>
        <w:rPr/>
        <w:t>Analisi della gestione dei residui</w:t>
      </w:r>
      <w:bookmarkEnd w:id="30"/>
      <w:bookmarkEnd w:id="31"/>
      <w:bookmarkEnd w:id="32"/>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L’Ente </w:t>
      </w:r>
      <w:r>
        <w:rPr>
          <w:rFonts w:eastAsia="Times New Roman" w:cs="Arial" w:ascii="Arial" w:hAnsi="Arial"/>
          <w:b/>
          <w:bCs/>
          <w:i/>
          <w:iCs/>
          <w:color w:val="auto"/>
          <w:szCs w:val="22"/>
          <w:lang w:eastAsia="it-IT"/>
        </w:rPr>
        <w:t xml:space="preserve">ha  </w:t>
      </w:r>
      <w:r>
        <w:rPr>
          <w:rFonts w:eastAsia="Times New Roman" w:cs="Arial" w:ascii="Arial" w:hAnsi="Arial"/>
          <w:color w:val="auto"/>
          <w:szCs w:val="22"/>
          <w:lang w:eastAsia="it-IT"/>
        </w:rPr>
        <w:t xml:space="preserve">provveduto al riaccertamento ordinario dei residui attivi e passivi al 31/12/2024 come previsto dall’art. 228 del TUEL con deliberazione della Giunta comunale n. 56 del 26.03.2025 munito del parere dell’Organo di revisione (riferimento </w:t>
      </w:r>
      <w:r>
        <w:rPr>
          <w:rFonts w:eastAsia="Arial Unicode MS" w:cs="Arial" w:ascii="Arial" w:hAnsi="Arial"/>
          <w:color w:val="auto"/>
          <w:szCs w:val="22"/>
          <w:lang w:eastAsia="it-IT"/>
        </w:rPr>
        <w:t>verbale n. 6 del 14.03.2025</w:t>
      </w:r>
      <w:r>
        <w:rPr>
          <w:rFonts w:eastAsia="Times New Roman" w:cs="Arial" w:ascii="Arial" w:hAnsi="Arial"/>
          <w:color w:val="auto"/>
          <w:szCs w:val="22"/>
          <w:lang w:eastAsia="it-IT"/>
        </w:rPr>
        <w:t>).</w:t>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L’Organo di revisione ha verificato:</w:t>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il rispetto dei principi e dei criteri di determinazione dei residui attivi e passivi disposti dagli articoli 179, 182, 189 e 190 del TUEL;</w:t>
      </w:r>
    </w:p>
    <w:p>
      <w:pPr>
        <w:pStyle w:val="Normal"/>
        <w:spacing w:lineRule="auto" w:line="240" w:before="0" w:after="120"/>
        <w:contextualSpacing/>
        <w:rPr>
          <w:rFonts w:ascii="Arial" w:hAnsi="Arial" w:eastAsia="Times New Roman" w:cs="Arial"/>
          <w:color w:val="auto"/>
          <w:szCs w:val="22"/>
          <w:lang w:eastAsia="it-IT"/>
        </w:rPr>
      </w:pPr>
      <w:r>
        <w:rPr>
          <w:rFonts w:eastAsia="Times New Roman" w:cs="Arial" w:ascii="Arial" w:hAnsi="Arial"/>
          <w:color w:val="auto"/>
          <w:szCs w:val="22"/>
          <w:lang w:eastAsia="it-IT"/>
        </w:rPr>
        <w:t>- la corretta conservazione, in sede di rendiconto, tra i residui passivi, sia delle spese liquidate sia di quelle liquidabili ai sensi dell'art. 3, comma 4, del d.lgs. n. 118/2011 e del punto 6 del principio contabile applicato della contabilità finanziaria;</w:t>
      </w:r>
    </w:p>
    <w:p>
      <w:pPr>
        <w:pStyle w:val="Normal"/>
        <w:spacing w:lineRule="auto" w:line="240" w:before="0" w:after="120"/>
        <w:contextualSpacing/>
        <w:rPr>
          <w:rFonts w:ascii="Arial" w:hAnsi="Arial" w:eastAsia="Times New Roman" w:cs="Arial"/>
          <w:color w:val="auto"/>
          <w:szCs w:val="22"/>
          <w:lang w:eastAsia="it-IT"/>
        </w:rPr>
      </w:pPr>
      <w:r>
        <w:rPr>
          <w:rFonts w:eastAsia="Times New Roman" w:cs="Arial" w:ascii="Arial" w:hAnsi="Arial"/>
          <w:color w:val="auto"/>
          <w:szCs w:val="22"/>
          <w:lang w:eastAsia="it-IT"/>
        </w:rPr>
        <w:tab/>
        <w:tab/>
        <w:tab/>
      </w:r>
    </w:p>
    <w:p>
      <w:pPr>
        <w:pStyle w:val="Normal"/>
        <w:spacing w:lineRule="auto" w:line="240" w:before="0" w:after="120"/>
        <w:contextualSpacing/>
        <w:rPr>
          <w:rFonts w:ascii="Arial" w:hAnsi="Arial" w:eastAsia="Times New Roman" w:cs="Arial"/>
          <w:color w:val="auto"/>
          <w:szCs w:val="22"/>
          <w:lang w:eastAsia="it-IT"/>
        </w:rPr>
      </w:pPr>
      <w:r>
        <w:rPr>
          <w:rFonts w:eastAsia="Times New Roman" w:cs="Arial" w:ascii="Arial" w:hAnsi="Arial"/>
          <w:color w:val="auto"/>
          <w:szCs w:val="22"/>
          <w:lang w:eastAsia="it-IT"/>
        </w:rPr>
        <w:t xml:space="preserve">Nelle scritture contabili dell’Ente </w:t>
      </w:r>
      <w:r>
        <w:rPr>
          <w:rFonts w:eastAsia="Times New Roman" w:cs="Arial" w:ascii="Arial" w:hAnsi="Arial"/>
          <w:b/>
          <w:bCs/>
          <w:i/>
          <w:iCs/>
          <w:color w:val="auto"/>
          <w:szCs w:val="22"/>
          <w:lang w:eastAsia="it-IT"/>
        </w:rPr>
        <w:t>non persistono</w:t>
      </w:r>
      <w:r>
        <w:rPr>
          <w:rFonts w:eastAsia="Times New Roman" w:cs="Arial" w:ascii="Arial" w:hAnsi="Arial"/>
          <w:color w:val="auto"/>
          <w:szCs w:val="22"/>
          <w:lang w:eastAsia="it-IT"/>
        </w:rPr>
        <w:t xml:space="preserve"> residui passivi provenienti dal 2019 e da esercizi precedenti.</w:t>
        <w:tab/>
        <w:tab/>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La gestione dei residui di esercizi precedenti a seguito del riaccertamento ordinario deliberato deliberazione della Giunta comunale n. 56 del 26.03.2025 ha comportato le seguenti variazioni:</w:t>
      </w:r>
    </w:p>
    <w:p>
      <w:pPr>
        <w:pStyle w:val="Normal"/>
        <w:widowControl w:val="false"/>
        <w:overflowPunct w:val="true"/>
        <w:spacing w:lineRule="auto" w:line="240" w:before="0" w:after="120"/>
        <w:textAlignment w:val="baseline"/>
        <w:rPr>
          <w:rFonts w:ascii="Arial" w:hAnsi="Arial" w:eastAsia="Times New Roman" w:cs="Arial"/>
          <w:color w:val="auto"/>
          <w:sz w:val="20"/>
          <w:szCs w:val="20"/>
          <w:lang w:eastAsia="it-IT"/>
        </w:rPr>
      </w:pPr>
      <w:r>
        <w:rPr>
          <w:rFonts w:eastAsia="Times New Roman" w:cs="Arial" w:ascii="Arial" w:hAnsi="Arial"/>
          <w:color w:val="auto"/>
          <w:sz w:val="20"/>
          <w:szCs w:val="20"/>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tbl>
      <w:tblPr>
        <w:tblW w:w="9748" w:type="dxa"/>
        <w:jc w:val="left"/>
        <w:tblInd w:w="-30" w:type="dxa"/>
        <w:tblLayout w:type="fixed"/>
        <w:tblCellMar>
          <w:top w:w="0" w:type="dxa"/>
          <w:left w:w="30" w:type="dxa"/>
          <w:bottom w:w="0" w:type="dxa"/>
          <w:right w:w="30" w:type="dxa"/>
        </w:tblCellMar>
      </w:tblPr>
      <w:tblGrid>
        <w:gridCol w:w="1658"/>
        <w:gridCol w:w="2010"/>
        <w:gridCol w:w="1924"/>
        <w:gridCol w:w="2029"/>
        <w:gridCol w:w="2127"/>
      </w:tblGrid>
      <w:tr>
        <w:trPr>
          <w:trHeight w:val="288" w:hRule="atLeast"/>
        </w:trPr>
        <w:tc>
          <w:tcPr>
            <w:tcW w:w="1658" w:type="dxa"/>
            <w:tcBorders/>
            <w:vAlign w:val="bottom"/>
          </w:tcPr>
          <w:p>
            <w:pPr>
              <w:pStyle w:val="Normal"/>
              <w:widowControl w:val="false"/>
              <w:tabs>
                <w:tab w:val="clear" w:pos="708"/>
              </w:tabs>
              <w:spacing w:before="0" w:after="200"/>
              <w:jc w:val="left"/>
              <w:rPr>
                <w:rFonts w:ascii="Arial" w:hAnsi="Arial" w:eastAsia="Times New Roman" w:cs="Arial"/>
                <w:b/>
                <w:b/>
                <w:color w:val="auto"/>
                <w:szCs w:val="22"/>
                <w:lang w:eastAsia="it-IT"/>
              </w:rPr>
            </w:pPr>
            <w:r>
              <w:rPr>
                <w:rFonts w:eastAsia="Times New Roman" w:cs="Arial" w:ascii="Arial" w:hAnsi="Arial"/>
                <w:b/>
                <w:color w:val="auto"/>
                <w:szCs w:val="22"/>
                <w:lang w:eastAsia="it-IT"/>
              </w:rPr>
              <w:t>VARIAZIONE RESIDUI</w:t>
            </w:r>
          </w:p>
        </w:tc>
        <w:tc>
          <w:tcPr>
            <w:tcW w:w="2010" w:type="dxa"/>
            <w:tcBorders/>
            <w:vAlign w:val="bottom"/>
          </w:tcPr>
          <w:p>
            <w:pPr>
              <w:pStyle w:val="Normal"/>
              <w:widowControl w:val="false"/>
              <w:tabs>
                <w:tab w:val="clear" w:pos="708"/>
              </w:tabs>
              <w:spacing w:before="0" w:after="200"/>
              <w:jc w:val="left"/>
              <w:rPr>
                <w:rFonts w:ascii="Arial" w:hAnsi="Arial" w:eastAsia="Times New Roman" w:cs="Arial"/>
                <w:b/>
                <w:b/>
                <w:color w:val="auto"/>
                <w:szCs w:val="22"/>
                <w:lang w:eastAsia="it-IT"/>
              </w:rPr>
            </w:pPr>
            <w:r>
              <w:rPr>
                <w:rFonts w:eastAsia="Times New Roman" w:cs="Arial" w:ascii="Arial" w:hAnsi="Arial"/>
                <w:b/>
                <w:color w:val="auto"/>
                <w:szCs w:val="22"/>
                <w:lang w:eastAsia="it-IT"/>
              </w:rPr>
            </w:r>
          </w:p>
        </w:tc>
        <w:tc>
          <w:tcPr>
            <w:tcW w:w="1924" w:type="dxa"/>
            <w:tcBorders/>
            <w:vAlign w:val="bottom"/>
          </w:tcPr>
          <w:p>
            <w:pPr>
              <w:pStyle w:val="Normal"/>
              <w:widowControl w:val="false"/>
              <w:tabs>
                <w:tab w:val="clear" w:pos="708"/>
              </w:tabs>
              <w:spacing w:before="0" w:after="200"/>
              <w:jc w:val="left"/>
              <w:rPr>
                <w:rFonts w:ascii="Arial" w:hAnsi="Arial" w:eastAsia="Times New Roman" w:cs="Arial"/>
                <w:b/>
                <w:b/>
                <w:color w:val="auto"/>
                <w:szCs w:val="22"/>
                <w:lang w:eastAsia="it-IT"/>
              </w:rPr>
            </w:pPr>
            <w:r>
              <w:rPr>
                <w:rFonts w:eastAsia="Times New Roman" w:cs="Arial" w:ascii="Arial" w:hAnsi="Arial"/>
                <w:b/>
                <w:color w:val="auto"/>
                <w:szCs w:val="22"/>
                <w:lang w:eastAsia="it-IT"/>
              </w:rPr>
            </w:r>
          </w:p>
        </w:tc>
        <w:tc>
          <w:tcPr>
            <w:tcW w:w="2029" w:type="dxa"/>
            <w:tcBorders/>
            <w:vAlign w:val="bottom"/>
          </w:tcPr>
          <w:p>
            <w:pPr>
              <w:pStyle w:val="Normal"/>
              <w:widowControl w:val="false"/>
              <w:tabs>
                <w:tab w:val="clear" w:pos="708"/>
              </w:tabs>
              <w:spacing w:before="0" w:after="200"/>
              <w:jc w:val="left"/>
              <w:rPr>
                <w:rFonts w:ascii="Arial" w:hAnsi="Arial" w:eastAsia="Times New Roman" w:cs="Arial"/>
                <w:b/>
                <w:b/>
                <w:color w:val="auto"/>
                <w:szCs w:val="22"/>
                <w:lang w:eastAsia="it-IT"/>
              </w:rPr>
            </w:pPr>
            <w:r>
              <w:rPr>
                <w:rFonts w:eastAsia="Times New Roman" w:cs="Arial" w:ascii="Arial" w:hAnsi="Arial"/>
                <w:b/>
                <w:color w:val="auto"/>
                <w:szCs w:val="22"/>
                <w:lang w:eastAsia="it-IT"/>
              </w:rPr>
            </w:r>
          </w:p>
        </w:tc>
        <w:tc>
          <w:tcPr>
            <w:tcW w:w="2127" w:type="dxa"/>
            <w:tcBorders/>
            <w:vAlign w:val="bottom"/>
          </w:tcPr>
          <w:p>
            <w:pPr>
              <w:pStyle w:val="Normal"/>
              <w:widowControl w:val="false"/>
              <w:tabs>
                <w:tab w:val="clear" w:pos="708"/>
              </w:tabs>
              <w:spacing w:before="0" w:after="200"/>
              <w:jc w:val="left"/>
              <w:rPr>
                <w:rFonts w:ascii="Arial" w:hAnsi="Arial" w:eastAsia="Times New Roman" w:cs="Arial"/>
                <w:b/>
                <w:b/>
                <w:color w:val="auto"/>
                <w:szCs w:val="22"/>
                <w:lang w:eastAsia="it-IT"/>
              </w:rPr>
            </w:pPr>
            <w:r>
              <w:rPr>
                <w:rFonts w:eastAsia="Times New Roman" w:cs="Arial" w:ascii="Arial" w:hAnsi="Arial"/>
                <w:b/>
                <w:color w:val="auto"/>
                <w:szCs w:val="22"/>
                <w:lang w:eastAsia="it-IT"/>
              </w:rPr>
            </w:r>
          </w:p>
        </w:tc>
      </w:tr>
      <w:tr>
        <w:trPr>
          <w:trHeight w:val="552" w:hRule="atLeast"/>
        </w:trPr>
        <w:tc>
          <w:tcPr>
            <w:tcW w:w="1658" w:type="dxa"/>
            <w:tcBorders/>
            <w:vAlign w:val="bottom"/>
          </w:tcPr>
          <w:p>
            <w:pPr>
              <w:pStyle w:val="Normal"/>
              <w:widowControl w:val="false"/>
              <w:tabs>
                <w:tab w:val="clear" w:pos="708"/>
              </w:tabs>
              <w:spacing w:before="0" w:after="200"/>
              <w:jc w:val="right"/>
              <w:rPr>
                <w:rFonts w:ascii="Arial" w:hAnsi="Arial" w:eastAsia="Times New Roman" w:cs="Arial"/>
                <w:b/>
                <w:b/>
                <w:color w:val="auto"/>
                <w:szCs w:val="22"/>
                <w:lang w:eastAsia="it-IT"/>
              </w:rPr>
            </w:pPr>
            <w:r>
              <w:rPr>
                <w:rFonts w:eastAsia="Times New Roman" w:cs="Arial" w:ascii="Arial" w:hAnsi="Arial"/>
                <w:b/>
                <w:color w:val="auto"/>
                <w:szCs w:val="22"/>
                <w:lang w:eastAsia="it-IT"/>
              </w:rPr>
            </w:r>
          </w:p>
        </w:tc>
        <w:tc>
          <w:tcPr>
            <w:tcW w:w="2010" w:type="dxa"/>
            <w:tcBorders/>
            <w:vAlign w:val="center"/>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t>Iniziali</w:t>
            </w:r>
          </w:p>
        </w:tc>
        <w:tc>
          <w:tcPr>
            <w:tcW w:w="1924" w:type="dxa"/>
            <w:tcBorders/>
            <w:vAlign w:val="center"/>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t>Riscossi/Pagati</w:t>
            </w:r>
          </w:p>
        </w:tc>
        <w:tc>
          <w:tcPr>
            <w:tcW w:w="2029" w:type="dxa"/>
            <w:tcBorders/>
            <w:vAlign w:val="center"/>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t>Inseriti nel rendiconto</w:t>
            </w:r>
          </w:p>
        </w:tc>
        <w:tc>
          <w:tcPr>
            <w:tcW w:w="2127" w:type="dxa"/>
            <w:tcBorders/>
            <w:vAlign w:val="center"/>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t>Variazioni</w:t>
            </w:r>
          </w:p>
        </w:tc>
      </w:tr>
      <w:tr>
        <w:trPr>
          <w:trHeight w:val="316" w:hRule="atLeast"/>
        </w:trPr>
        <w:tc>
          <w:tcPr>
            <w:tcW w:w="1658" w:type="dxa"/>
            <w:tcBorders/>
            <w:vAlign w:val="bottom"/>
          </w:tcPr>
          <w:p>
            <w:pPr>
              <w:pStyle w:val="Normal"/>
              <w:widowControl w:val="false"/>
              <w:tabs>
                <w:tab w:val="clear" w:pos="708"/>
              </w:tabs>
              <w:spacing w:before="0" w:after="200"/>
              <w:jc w:val="left"/>
              <w:rPr>
                <w:rFonts w:ascii="Arial" w:hAnsi="Arial" w:eastAsia="Times New Roman" w:cs="Arial"/>
                <w:b/>
                <w:b/>
                <w:color w:val="auto"/>
                <w:szCs w:val="22"/>
                <w:lang w:eastAsia="it-IT"/>
              </w:rPr>
            </w:pPr>
            <w:r>
              <w:rPr/>
              <w:t>Residui attivi</w:t>
            </w:r>
          </w:p>
        </w:tc>
        <w:tc>
          <w:tcPr>
            <w:tcW w:w="2010" w:type="dxa"/>
            <w:tcBorders/>
            <w:vAlign w:val="bottom"/>
          </w:tcPr>
          <w:p>
            <w:pPr>
              <w:pStyle w:val="Normal"/>
              <w:widowControl w:val="false"/>
              <w:tabs>
                <w:tab w:val="clear" w:pos="708"/>
              </w:tabs>
              <w:spacing w:before="0" w:after="200"/>
              <w:jc w:val="right"/>
              <w:rPr>
                <w:rFonts w:ascii="Arial" w:hAnsi="Arial" w:eastAsia="Times New Roman" w:cs="Arial"/>
                <w:b/>
                <w:b/>
                <w:color w:val="auto"/>
                <w:szCs w:val="22"/>
                <w:lang w:eastAsia="it-IT"/>
              </w:rPr>
            </w:pPr>
            <w:r>
              <w:rPr/>
              <w:t xml:space="preserve"> € </w:t>
            </w:r>
            <w:r>
              <w:rPr/>
              <w:t>26.899.042,31</w:t>
            </w:r>
          </w:p>
        </w:tc>
        <w:tc>
          <w:tcPr>
            <w:tcW w:w="1924" w:type="dxa"/>
            <w:tcBorders/>
            <w:vAlign w:val="bottom"/>
          </w:tcPr>
          <w:p>
            <w:pPr>
              <w:pStyle w:val="Normal"/>
              <w:widowControl w:val="false"/>
              <w:tabs>
                <w:tab w:val="clear" w:pos="708"/>
              </w:tabs>
              <w:spacing w:before="0" w:after="200"/>
              <w:jc w:val="right"/>
              <w:rPr>
                <w:rFonts w:ascii="Arial" w:hAnsi="Arial" w:eastAsia="Times New Roman" w:cs="Arial"/>
                <w:b/>
                <w:b/>
                <w:color w:val="auto"/>
                <w:szCs w:val="22"/>
                <w:lang w:eastAsia="it-IT"/>
              </w:rPr>
            </w:pPr>
            <w:r>
              <w:rPr/>
              <w:t xml:space="preserve"> € </w:t>
            </w:r>
            <w:r>
              <w:rPr/>
              <w:t>9.794.774,68</w:t>
            </w:r>
          </w:p>
        </w:tc>
        <w:tc>
          <w:tcPr>
            <w:tcW w:w="2029" w:type="dxa"/>
            <w:tcBorders/>
            <w:vAlign w:val="bottom"/>
          </w:tcPr>
          <w:p>
            <w:pPr>
              <w:pStyle w:val="Normal"/>
              <w:widowControl w:val="false"/>
              <w:tabs>
                <w:tab w:val="clear" w:pos="708"/>
              </w:tabs>
              <w:spacing w:before="0" w:after="200"/>
              <w:jc w:val="right"/>
              <w:rPr>
                <w:rFonts w:ascii="Arial" w:hAnsi="Arial" w:eastAsia="Times New Roman" w:cs="Arial"/>
                <w:b/>
                <w:b/>
                <w:color w:val="auto"/>
                <w:szCs w:val="22"/>
                <w:lang w:eastAsia="it-IT"/>
              </w:rPr>
            </w:pPr>
            <w:r>
              <w:rPr/>
              <w:t xml:space="preserve"> € </w:t>
            </w:r>
            <w:r>
              <w:rPr/>
              <w:t>17.095.107,56</w:t>
            </w:r>
          </w:p>
        </w:tc>
        <w:tc>
          <w:tcPr>
            <w:tcW w:w="2127" w:type="dxa"/>
            <w:tcBorders/>
            <w:vAlign w:val="bottom"/>
          </w:tcPr>
          <w:p>
            <w:pPr>
              <w:pStyle w:val="Normal"/>
              <w:widowControl w:val="false"/>
              <w:tabs>
                <w:tab w:val="clear" w:pos="708"/>
              </w:tabs>
              <w:spacing w:before="0" w:after="200"/>
              <w:jc w:val="right"/>
              <w:rPr>
                <w:rFonts w:ascii="Arial" w:hAnsi="Arial" w:eastAsia="Times New Roman" w:cs="Arial"/>
                <w:b/>
                <w:b/>
                <w:color w:val="auto"/>
                <w:szCs w:val="22"/>
                <w:lang w:eastAsia="it-IT"/>
              </w:rPr>
            </w:pPr>
            <w:r>
              <w:rPr/>
              <w:t>-€ 9.160,07</w:t>
            </w:r>
          </w:p>
        </w:tc>
      </w:tr>
      <w:tr>
        <w:trPr>
          <w:trHeight w:val="316" w:hRule="atLeast"/>
        </w:trPr>
        <w:tc>
          <w:tcPr>
            <w:tcW w:w="1658" w:type="dxa"/>
            <w:tcBorders/>
            <w:vAlign w:val="bottom"/>
          </w:tcPr>
          <w:p>
            <w:pPr>
              <w:pStyle w:val="Normal"/>
              <w:widowControl w:val="false"/>
              <w:tabs>
                <w:tab w:val="clear" w:pos="708"/>
              </w:tabs>
              <w:spacing w:before="0" w:after="200"/>
              <w:jc w:val="left"/>
              <w:rPr>
                <w:rFonts w:ascii="Arial" w:hAnsi="Arial" w:eastAsia="Times New Roman" w:cs="Arial"/>
                <w:b/>
                <w:b/>
                <w:color w:val="auto"/>
                <w:szCs w:val="22"/>
                <w:lang w:eastAsia="it-IT"/>
              </w:rPr>
            </w:pPr>
            <w:r>
              <w:rPr/>
              <w:t>Residui passivi</w:t>
            </w:r>
          </w:p>
        </w:tc>
        <w:tc>
          <w:tcPr>
            <w:tcW w:w="2010" w:type="dxa"/>
            <w:tcBorders/>
            <w:vAlign w:val="bottom"/>
          </w:tcPr>
          <w:p>
            <w:pPr>
              <w:pStyle w:val="Normal"/>
              <w:widowControl w:val="false"/>
              <w:tabs>
                <w:tab w:val="clear" w:pos="708"/>
              </w:tabs>
              <w:spacing w:before="0" w:after="200"/>
              <w:jc w:val="right"/>
              <w:rPr>
                <w:rFonts w:ascii="Arial" w:hAnsi="Arial" w:eastAsia="Times New Roman" w:cs="Arial"/>
                <w:b/>
                <w:b/>
                <w:color w:val="auto"/>
                <w:szCs w:val="22"/>
                <w:lang w:eastAsia="it-IT"/>
              </w:rPr>
            </w:pPr>
            <w:r>
              <w:rPr/>
              <w:t xml:space="preserve"> € </w:t>
            </w:r>
            <w:r>
              <w:rPr/>
              <w:t>6.702.195,70</w:t>
            </w:r>
          </w:p>
        </w:tc>
        <w:tc>
          <w:tcPr>
            <w:tcW w:w="1924" w:type="dxa"/>
            <w:tcBorders/>
            <w:vAlign w:val="bottom"/>
          </w:tcPr>
          <w:p>
            <w:pPr>
              <w:pStyle w:val="Normal"/>
              <w:widowControl w:val="false"/>
              <w:tabs>
                <w:tab w:val="clear" w:pos="708"/>
              </w:tabs>
              <w:spacing w:before="0" w:after="200"/>
              <w:jc w:val="right"/>
              <w:rPr>
                <w:rFonts w:ascii="Arial" w:hAnsi="Arial" w:eastAsia="Times New Roman" w:cs="Arial"/>
                <w:b/>
                <w:b/>
                <w:color w:val="auto"/>
                <w:szCs w:val="22"/>
                <w:lang w:eastAsia="it-IT"/>
              </w:rPr>
            </w:pPr>
            <w:r>
              <w:rPr/>
              <w:t xml:space="preserve"> € </w:t>
            </w:r>
            <w:r>
              <w:rPr/>
              <w:t>5.327.831,97</w:t>
            </w:r>
          </w:p>
        </w:tc>
        <w:tc>
          <w:tcPr>
            <w:tcW w:w="2029" w:type="dxa"/>
            <w:tcBorders/>
            <w:vAlign w:val="bottom"/>
          </w:tcPr>
          <w:p>
            <w:pPr>
              <w:pStyle w:val="Normal"/>
              <w:widowControl w:val="false"/>
              <w:tabs>
                <w:tab w:val="clear" w:pos="708"/>
              </w:tabs>
              <w:spacing w:before="0" w:after="200"/>
              <w:jc w:val="right"/>
              <w:rPr>
                <w:rFonts w:ascii="Arial" w:hAnsi="Arial" w:eastAsia="Times New Roman" w:cs="Arial"/>
                <w:b/>
                <w:b/>
                <w:color w:val="auto"/>
                <w:szCs w:val="22"/>
                <w:lang w:eastAsia="it-IT"/>
              </w:rPr>
            </w:pPr>
            <w:r>
              <w:rPr/>
              <w:t xml:space="preserve"> € </w:t>
            </w:r>
            <w:r>
              <w:rPr/>
              <w:t>879.158,90</w:t>
            </w:r>
          </w:p>
        </w:tc>
        <w:tc>
          <w:tcPr>
            <w:tcW w:w="2127" w:type="dxa"/>
            <w:tcBorders/>
            <w:vAlign w:val="bottom"/>
          </w:tcPr>
          <w:p>
            <w:pPr>
              <w:pStyle w:val="Normal"/>
              <w:widowControl w:val="false"/>
              <w:tabs>
                <w:tab w:val="clear" w:pos="708"/>
              </w:tabs>
              <w:spacing w:before="0" w:after="200"/>
              <w:jc w:val="right"/>
              <w:rPr>
                <w:rFonts w:ascii="Arial" w:hAnsi="Arial" w:eastAsia="Times New Roman" w:cs="Arial"/>
                <w:b/>
                <w:b/>
                <w:color w:val="auto"/>
                <w:szCs w:val="22"/>
                <w:lang w:eastAsia="it-IT"/>
              </w:rPr>
            </w:pPr>
            <w:r>
              <w:rPr/>
              <w:t>-€ 495.204,83</w:t>
            </w:r>
          </w:p>
        </w:tc>
      </w:tr>
    </w:tbl>
    <w:p>
      <w:pPr>
        <w:pStyle w:val="Normal"/>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numPr>
          <w:ilvl w:val="0"/>
          <w:numId w:val="0"/>
        </w:numPr>
        <w:ind w:left="0" w:hanging="0"/>
        <w:jc w:val="both"/>
        <w:rPr>
          <w:rFonts w:ascii="Arial" w:hAnsi="Arial"/>
          <w:color w:val="auto"/>
        </w:rPr>
      </w:pPr>
      <w:r>
        <w:rPr>
          <w:rFonts w:cs="Arial" w:ascii="Arial" w:hAnsi="Arial"/>
          <w:color w:val="auto"/>
          <w:szCs w:val="22"/>
        </w:rPr>
        <w:t>L’Organo di revisione ha verificato che i crediti riconosciuti formalmente come assolutamente inesigibili o per indebito o erroneo accertamento del credito sono stati definitivamente eliminati dalle scritture e dai documenti di bilancio; non sono stati rilevati crediti prescritti.</w:t>
      </w:r>
    </w:p>
    <w:p>
      <w:pPr>
        <w:pStyle w:val="Normal"/>
        <w:numPr>
          <w:ilvl w:val="0"/>
          <w:numId w:val="0"/>
        </w:numPr>
        <w:ind w:left="0" w:hanging="0"/>
        <w:jc w:val="both"/>
        <w:rPr>
          <w:rFonts w:ascii="Arial" w:hAnsi="Arial"/>
          <w:color w:val="auto"/>
        </w:rPr>
      </w:pPr>
      <w:r>
        <w:rPr>
          <w:rFonts w:cs="Arial" w:ascii="Arial" w:hAnsi="Arial"/>
          <w:color w:val="auto"/>
          <w:szCs w:val="22"/>
        </w:rPr>
        <w:t>L’Organo di revisione ha verificato che il riconosc</w:t>
      </w:r>
      <w:r>
        <w:rPr>
          <w:rFonts w:cs="Arial" w:ascii="Arial" w:hAnsi="Arial"/>
          <w:color w:val="auto"/>
          <w:sz w:val="22"/>
          <w:szCs w:val="22"/>
        </w:rPr>
        <w:t xml:space="preserve">imento formale dell’assoluta inesigibilità o insussistenza </w:t>
      </w:r>
      <w:r>
        <w:rPr>
          <w:rFonts w:cs="Arial" w:ascii="Arial" w:hAnsi="Arial"/>
          <w:b/>
          <w:bCs/>
          <w:color w:val="auto"/>
          <w:sz w:val="22"/>
          <w:szCs w:val="22"/>
        </w:rPr>
        <w:t>è stato</w:t>
      </w:r>
      <w:r>
        <w:rPr>
          <w:rFonts w:cs="Arial" w:ascii="Arial" w:hAnsi="Arial"/>
          <w:color w:val="auto"/>
          <w:sz w:val="22"/>
          <w:szCs w:val="22"/>
        </w:rPr>
        <w:t xml:space="preserve"> adeguatamente motivato; </w:t>
      </w:r>
      <w:r>
        <w:rPr>
          <w:rFonts w:cs="Arial" w:ascii="Arial" w:hAnsi="Arial"/>
          <w:b/>
          <w:bCs/>
          <w:color w:val="auto"/>
          <w:sz w:val="22"/>
          <w:szCs w:val="22"/>
        </w:rPr>
        <w:t xml:space="preserve">non esistono </w:t>
      </w:r>
      <w:r>
        <w:rPr>
          <w:rFonts w:cs="Arial" w:ascii="Arial" w:hAnsi="Arial"/>
          <w:color w:val="auto"/>
          <w:sz w:val="22"/>
          <w:szCs w:val="22"/>
        </w:rPr>
        <w:t>residui attivi stralciati per sopravvenuta maturazione della prescrizione.</w:t>
      </w:r>
    </w:p>
    <w:p>
      <w:pPr>
        <w:pStyle w:val="Normal"/>
        <w:numPr>
          <w:ilvl w:val="0"/>
          <w:numId w:val="0"/>
        </w:numPr>
        <w:ind w:left="0" w:hanging="0"/>
        <w:jc w:val="both"/>
        <w:rPr>
          <w:rFonts w:ascii="Arial" w:hAnsi="Arial"/>
          <w:color w:val="auto"/>
          <w:sz w:val="22"/>
          <w:szCs w:val="22"/>
        </w:rPr>
      </w:pPr>
      <w:r>
        <w:rPr>
          <w:rFonts w:cs="Arial" w:ascii="Arial" w:hAnsi="Arial"/>
          <w:color w:val="auto"/>
          <w:sz w:val="22"/>
          <w:szCs w:val="22"/>
        </w:rPr>
        <w:t xml:space="preserve">L’Organo di revisione ha verificato che l’Ente, In un'ottica di prudenza e di pedissequo rispetto delle prescrizioni contenute nei </w:t>
      </w:r>
      <w:r>
        <w:rPr>
          <w:rFonts w:ascii="Arial" w:hAnsi="Arial"/>
          <w:color w:val="auto"/>
          <w:sz w:val="22"/>
          <w:szCs w:val="22"/>
        </w:rPr>
        <w:t>principi contabili, ha radiato dal conto del bilancio i crediti aventi anzianità superiore ai 3 anni; tali postazioni vengono conservate in apposita evidenza allegata al conto del patrimonio sino al compimento dei termini di prescrizione. Per dette poste risultano in corso le relative procedure di esazione coattiva che, ove fruttuosamente esperite, determineranno la registrazione contabile delle riscossioni effettuate, con conseguente miglioramento della liquidità e delle performance finanziarie del bilancio. Gli unici 2 accertamenti di anzianità superiore ai tre anni (2020) non radiati, riguardano attività accertativa/coattiva effettuata negli ultimi mesi dell'anno 2024, accertamenti per i quali sono in corso i relativi incassi, soggetti comunque a svalutazione.</w:t>
      </w:r>
    </w:p>
    <w:p>
      <w:pPr>
        <w:pStyle w:val="Normal"/>
        <w:numPr>
          <w:ilvl w:val="0"/>
          <w:numId w:val="0"/>
        </w:numPr>
        <w:ind w:left="0" w:hanging="0"/>
        <w:jc w:val="both"/>
        <w:rPr/>
      </w:pPr>
      <w:r>
        <w:rPr>
          <w:rFonts w:ascii="Arial" w:hAnsi="Arial"/>
          <w:color w:val="auto"/>
          <w:sz w:val="22"/>
          <w:szCs w:val="22"/>
        </w:rPr>
        <w:t>L’Organo di revisione ha verificato che l</w:t>
      </w:r>
      <w:r>
        <w:rPr>
          <w:rFonts w:ascii="arial;helvetica;sans-serif" w:hAnsi="arial;helvetica;sans-serif"/>
          <w:b w:val="false"/>
          <w:i w:val="false"/>
          <w:caps w:val="false"/>
          <w:smallCaps w:val="false"/>
          <w:color w:val="000000"/>
          <w:spacing w:val="0"/>
          <w:sz w:val="22"/>
        </w:rPr>
        <w:t xml:space="preserve">e partite di giro riportano crediti/debiti anche superiori ai 3 anni, principalmente dovuti a depositi cauzionali. </w:t>
      </w:r>
    </w:p>
    <w:p>
      <w:pPr>
        <w:pStyle w:val="Normal"/>
        <w:widowControl w:val="false"/>
        <w:numPr>
          <w:ilvl w:val="0"/>
          <w:numId w:val="0"/>
        </w:numPr>
        <w:overflowPunct w:val="true"/>
        <w:spacing w:lineRule="auto" w:line="240" w:before="0" w:after="120"/>
        <w:ind w:left="0" w:hanging="0"/>
        <w:jc w:val="both"/>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L’Organo di revisione ha verificato conseguentemente che </w:t>
      </w:r>
      <w:r>
        <w:rPr>
          <w:rFonts w:eastAsia="Times New Roman" w:cs="Arial" w:ascii="Arial" w:hAnsi="Arial"/>
          <w:b/>
          <w:i/>
          <w:color w:val="auto"/>
          <w:szCs w:val="22"/>
          <w:lang w:eastAsia="it-IT"/>
        </w:rPr>
        <w:t>è stato</w:t>
      </w:r>
      <w:r>
        <w:rPr>
          <w:rFonts w:eastAsia="Times New Roman" w:cs="Arial" w:ascii="Arial" w:hAnsi="Arial"/>
          <w:color w:val="auto"/>
          <w:szCs w:val="22"/>
          <w:lang w:eastAsia="it-IT"/>
        </w:rPr>
        <w:t xml:space="preserve"> adeguato il FCDE. </w:t>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L’Organo di revisione ha verificato che il riaccertamento dei residui attivi </w:t>
      </w:r>
      <w:r>
        <w:rPr>
          <w:rFonts w:eastAsia="Times New Roman" w:cs="Arial" w:ascii="Arial" w:hAnsi="Arial"/>
          <w:b/>
          <w:bCs/>
          <w:i/>
          <w:iCs/>
          <w:color w:val="auto"/>
          <w:szCs w:val="22"/>
          <w:lang w:eastAsia="it-IT"/>
        </w:rPr>
        <w:t>è stato effettuato</w:t>
      </w:r>
      <w:r>
        <w:rPr>
          <w:rFonts w:eastAsia="Times New Roman" w:cs="Arial" w:ascii="Arial" w:hAnsi="Arial"/>
          <w:color w:val="auto"/>
          <w:szCs w:val="22"/>
          <w:lang w:eastAsia="it-IT"/>
        </w:rPr>
        <w:t xml:space="preserve"> dai singoli responsabili titolari di gestioni contabili, motivando le ragioni del loro mantenimento o dell’eventuale cancellazione parziale o totale. </w:t>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b/>
          <w:b/>
          <w:i/>
          <w:i/>
          <w:color w:val="00B0F0"/>
          <w:szCs w:val="22"/>
          <w:lang w:eastAsia="it-IT"/>
        </w:rPr>
      </w:pPr>
      <w:r>
        <w:rPr>
          <w:rFonts w:eastAsia="Times New Roman" w:cs="Arial" w:ascii="Arial" w:hAnsi="Arial"/>
          <w:color w:val="auto"/>
          <w:szCs w:val="22"/>
          <w:lang w:eastAsia="it-IT"/>
        </w:rPr>
        <w:t xml:space="preserve">L’Organo di revisione ha verificato che </w:t>
      </w:r>
      <w:r>
        <w:rPr>
          <w:rFonts w:eastAsia="Times New Roman" w:cs="Arial" w:ascii="Arial" w:hAnsi="Arial"/>
          <w:b/>
          <w:bCs/>
          <w:i/>
          <w:iCs/>
          <w:color w:val="auto"/>
          <w:szCs w:val="22"/>
          <w:lang w:eastAsia="it-IT"/>
        </w:rPr>
        <w:t>è stata</w:t>
      </w:r>
      <w:r>
        <w:rPr>
          <w:rFonts w:eastAsia="Times New Roman" w:cs="Arial" w:ascii="Arial" w:hAnsi="Arial"/>
          <w:color w:val="auto"/>
          <w:szCs w:val="22"/>
          <w:lang w:eastAsia="it-IT"/>
        </w:rPr>
        <w:t xml:space="preserve"> effettuata la corretta conservazione, in sede di rendiconto, tra i residui passivi, sia delle spese liquidate sia di quelle liquidabili ai sensi dell'art. 3, co. 4, del d.lgs. n. 118/2011 e del punto 6 del Principio contabile applicato della contabilità finanziaria. </w:t>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b/>
          <w:b/>
          <w:i/>
          <w:i/>
          <w:color w:val="00B0F0"/>
          <w:szCs w:val="22"/>
          <w:lang w:eastAsia="it-IT"/>
        </w:rPr>
      </w:pPr>
      <w:r>
        <w:rPr>
          <w:rFonts w:eastAsia="Times New Roman" w:cs="Arial" w:ascii="Arial" w:hAnsi="Arial"/>
          <w:b/>
          <w:i/>
          <w:color w:val="00B0F0"/>
          <w:szCs w:val="22"/>
          <w:lang w:eastAsia="it-IT"/>
        </w:rPr>
      </w:r>
    </w:p>
    <w:p>
      <w:pPr>
        <w:pStyle w:val="Normal"/>
        <w:spacing w:lineRule="auto" w:line="240" w:before="0" w:after="120"/>
        <w:rPr>
          <w:rFonts w:ascii="Arial" w:hAnsi="Arial" w:eastAsia="Times New Roman" w:cs="Arial"/>
          <w:color w:val="auto"/>
          <w:szCs w:val="22"/>
          <w:lang w:eastAsia="it-IT"/>
        </w:rPr>
      </w:pPr>
      <w:r>
        <w:rPr>
          <w:rFonts w:eastAsia="Times New Roman" w:cs="Arial" w:ascii="Arial" w:hAnsi="Arial"/>
          <w:color w:val="auto"/>
          <w:szCs w:val="22"/>
          <w:lang w:eastAsia="it-IT"/>
        </w:rPr>
        <w:t>Con riferimento ai crediti riconosciuti inesigibili, l’Organo di revisione ha verificato la motivata eliminazione di crediti iscritti fra i residui attivi da oltre tre anni dalla loro scadenza e non riscossi, ancorché non ancora prescritti, per euro 2.442.633,41 e contestualmente iscritti nel conto del patrimonio.</w:t>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b/>
          <w:b/>
          <w:i/>
          <w:i/>
          <w:color w:val="00B0F0"/>
          <w:szCs w:val="22"/>
          <w:lang w:eastAsia="it-IT"/>
        </w:rPr>
      </w:pPr>
      <w:r>
        <w:rPr>
          <w:rFonts w:eastAsia="Times New Roman" w:cs="Arial" w:ascii="Arial" w:hAnsi="Arial"/>
          <w:b/>
          <w:i/>
          <w:color w:val="00B0F0"/>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b/>
          <w:b/>
          <w:i/>
          <w:i/>
          <w:color w:val="00B0F0"/>
          <w:szCs w:val="22"/>
          <w:lang w:eastAsia="it-IT"/>
        </w:rPr>
      </w:pPr>
      <w:r>
        <w:rPr>
          <w:rFonts w:eastAsia="Times New Roman" w:cs="Arial" w:ascii="arial;helvetica;sans-serif" w:hAnsi="arial;helvetica;sans-serif"/>
          <w:b w:val="false"/>
          <w:i w:val="false"/>
          <w:caps w:val="false"/>
          <w:smallCaps w:val="false"/>
          <w:color w:val="000000"/>
          <w:spacing w:val="0"/>
          <w:sz w:val="22"/>
          <w:szCs w:val="22"/>
          <w:lang w:eastAsia="it-IT"/>
        </w:rPr>
        <w:t>Dall'elenco dei residui per anno di provenienza, si segnala che, per quanto riguarda i crediti/debiti di anzianità superiore ai tre anni, il residuo riportato fa riferimento esclusivamente ad importi già incassati/pagati nell'esercizio 2025</w:t>
      </w:r>
      <w:r>
        <w:rPr>
          <w:rFonts w:eastAsia="Times New Roman" w:cs="Arial" w:ascii="Arial" w:hAnsi="Arial"/>
          <w:b w:val="false"/>
          <w:i w:val="false"/>
          <w:caps w:val="false"/>
          <w:smallCaps w:val="false"/>
          <w:color w:val="auto"/>
          <w:spacing w:val="0"/>
          <w:sz w:val="22"/>
          <w:szCs w:val="22"/>
          <w:lang w:eastAsia="it-IT"/>
        </w:rPr>
        <w:t>.</w:t>
      </w:r>
    </w:p>
    <w:p>
      <w:pPr>
        <w:pStyle w:val="Normal"/>
        <w:widowControl w:val="false"/>
        <w:numPr>
          <w:ilvl w:val="0"/>
          <w:numId w:val="0"/>
        </w:numPr>
        <w:overflowPunct w:val="true"/>
        <w:spacing w:lineRule="auto" w:line="240" w:before="0" w:after="120"/>
        <w:ind w:left="0" w:hanging="0"/>
        <w:jc w:val="center"/>
        <w:textAlignment w:val="baseline"/>
        <w:rPr>
          <w:rFonts w:ascii="Arial" w:hAnsi="Arial" w:eastAsia="Times New Roman" w:cs="Arial"/>
          <w:b/>
          <w:b/>
          <w:bCs/>
          <w:color w:val="auto"/>
          <w:szCs w:val="22"/>
          <w:lang w:eastAsia="it-IT"/>
        </w:rPr>
      </w:pPr>
      <w:r>
        <w:rPr>
          <w:rFonts w:eastAsia="Times New Roman" w:cs="Arial" w:ascii="Arial" w:hAnsi="Arial"/>
          <w:b/>
          <w:bCs/>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overflowPunct w:val="true"/>
        <w:spacing w:lineRule="auto" w:line="240" w:before="0" w:after="240"/>
        <w:textAlignment w:val="baseline"/>
        <w:rPr>
          <w:b w:val="false"/>
          <w:b w:val="false"/>
          <w:bCs w:val="false"/>
        </w:rPr>
      </w:pPr>
      <w:r>
        <w:rPr>
          <w:b w:val="false"/>
          <w:bCs w:val="false"/>
        </w:rPr>
      </w:r>
    </w:p>
    <w:p>
      <w:pPr>
        <w:pStyle w:val="Normal"/>
        <w:widowControl w:val="false"/>
        <w:overflowPunct w:val="true"/>
        <w:spacing w:lineRule="auto" w:line="240" w:before="0" w:after="240"/>
        <w:textAlignment w:val="baseline"/>
        <w:rPr>
          <w:b w:val="false"/>
          <w:b w:val="false"/>
          <w:bCs w:val="false"/>
        </w:rPr>
      </w:pPr>
      <w:r>
        <w:rPr>
          <w:b w:val="false"/>
          <w:bCs w:val="false"/>
        </w:rPr>
      </w:r>
    </w:p>
    <w:p>
      <w:pPr>
        <w:pStyle w:val="Normal"/>
        <w:widowControl w:val="false"/>
        <w:overflowPunct w:val="true"/>
        <w:spacing w:lineRule="auto" w:line="240" w:before="0" w:after="240"/>
        <w:textAlignment w:val="baseline"/>
        <w:rPr>
          <w:b w:val="false"/>
          <w:b w:val="false"/>
          <w:bCs w:val="false"/>
        </w:rPr>
      </w:pPr>
      <w:r>
        <w:rPr>
          <w:rFonts w:eastAsia="Times New Roman" w:cs="Arial" w:ascii="Arial" w:hAnsi="Arial"/>
          <w:b w:val="false"/>
          <w:bCs w:val="false"/>
          <w:color w:val="auto"/>
          <w:szCs w:val="22"/>
          <w:lang w:eastAsia="it-IT"/>
        </w:rPr>
        <w:t>L’Organo di revisione ha verificato l’anzianità dei residui attivi e passivi come da tabelle seguenti</w:t>
      </w:r>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drawing>
          <wp:anchor behindDoc="0" distT="0" distB="0" distL="0" distR="0" simplePos="0" locked="0" layoutInCell="0" allowOverlap="1" relativeHeight="8">
            <wp:simplePos x="0" y="0"/>
            <wp:positionH relativeFrom="column">
              <wp:align>center</wp:align>
            </wp:positionH>
            <wp:positionV relativeFrom="paragraph">
              <wp:posOffset>635</wp:posOffset>
            </wp:positionV>
            <wp:extent cx="6768465" cy="4493895"/>
            <wp:effectExtent l="0" t="0" r="0" b="0"/>
            <wp:wrapSquare wrapText="largest"/>
            <wp:docPr id="7" name="Immagin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5" descr=""/>
                    <pic:cNvPicPr>
                      <a:picLocks noChangeAspect="1" noChangeArrowheads="1"/>
                    </pic:cNvPicPr>
                  </pic:nvPicPr>
                  <pic:blipFill>
                    <a:blip r:embed="rId9"/>
                    <a:stretch>
                      <a:fillRect/>
                    </a:stretch>
                  </pic:blipFill>
                  <pic:spPr bwMode="auto">
                    <a:xfrm>
                      <a:off x="0" y="0"/>
                      <a:ext cx="6768465" cy="4493895"/>
                    </a:xfrm>
                    <a:prstGeom prst="rect">
                      <a:avLst/>
                    </a:prstGeom>
                  </pic:spPr>
                </pic:pic>
              </a:graphicData>
            </a:graphic>
          </wp:anchor>
        </w:drawing>
        <w:drawing>
          <wp:anchor behindDoc="0" distT="0" distB="0" distL="0" distR="0" simplePos="0" locked="0" layoutInCell="0" allowOverlap="1" relativeHeight="9">
            <wp:simplePos x="0" y="0"/>
            <wp:positionH relativeFrom="column">
              <wp:posOffset>-500380</wp:posOffset>
            </wp:positionH>
            <wp:positionV relativeFrom="paragraph">
              <wp:posOffset>4558665</wp:posOffset>
            </wp:positionV>
            <wp:extent cx="6772910" cy="1589405"/>
            <wp:effectExtent l="0" t="0" r="0" b="0"/>
            <wp:wrapSquare wrapText="largest"/>
            <wp:docPr id="8" name="Immagin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6" descr=""/>
                    <pic:cNvPicPr>
                      <a:picLocks noChangeAspect="1" noChangeArrowheads="1"/>
                    </pic:cNvPicPr>
                  </pic:nvPicPr>
                  <pic:blipFill>
                    <a:blip r:embed="rId10"/>
                    <a:stretch>
                      <a:fillRect/>
                    </a:stretch>
                  </pic:blipFill>
                  <pic:spPr bwMode="auto">
                    <a:xfrm>
                      <a:off x="0" y="0"/>
                      <a:ext cx="6772910" cy="1589405"/>
                    </a:xfrm>
                    <a:prstGeom prst="rect">
                      <a:avLst/>
                    </a:prstGeom>
                  </pic:spPr>
                </pic:pic>
              </a:graphicData>
            </a:graphic>
          </wp:anchor>
        </w:drawing>
      </w:r>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drawing>
          <wp:anchor behindDoc="0" distT="0" distB="0" distL="0" distR="0" simplePos="0" locked="0" layoutInCell="0" allowOverlap="1" relativeHeight="10">
            <wp:simplePos x="0" y="0"/>
            <wp:positionH relativeFrom="column">
              <wp:posOffset>-407670</wp:posOffset>
            </wp:positionH>
            <wp:positionV relativeFrom="paragraph">
              <wp:posOffset>84455</wp:posOffset>
            </wp:positionV>
            <wp:extent cx="6711315" cy="4131310"/>
            <wp:effectExtent l="0" t="0" r="0" b="0"/>
            <wp:wrapSquare wrapText="largest"/>
            <wp:docPr id="9" name="Immagin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7" descr=""/>
                    <pic:cNvPicPr>
                      <a:picLocks noChangeAspect="1" noChangeArrowheads="1"/>
                    </pic:cNvPicPr>
                  </pic:nvPicPr>
                  <pic:blipFill>
                    <a:blip r:embed="rId11"/>
                    <a:stretch>
                      <a:fillRect/>
                    </a:stretch>
                  </pic:blipFill>
                  <pic:spPr bwMode="auto">
                    <a:xfrm>
                      <a:off x="0" y="0"/>
                      <a:ext cx="6711315" cy="4131310"/>
                    </a:xfrm>
                    <a:prstGeom prst="rect">
                      <a:avLst/>
                    </a:prstGeom>
                  </pic:spPr>
                </pic:pic>
              </a:graphicData>
            </a:graphic>
          </wp:anchor>
        </w:drawing>
        <w:drawing>
          <wp:anchor behindDoc="0" distT="0" distB="0" distL="0" distR="0" simplePos="0" locked="0" layoutInCell="0" allowOverlap="1" relativeHeight="11">
            <wp:simplePos x="0" y="0"/>
            <wp:positionH relativeFrom="column">
              <wp:posOffset>-379730</wp:posOffset>
            </wp:positionH>
            <wp:positionV relativeFrom="paragraph">
              <wp:posOffset>4310380</wp:posOffset>
            </wp:positionV>
            <wp:extent cx="6683375" cy="1456690"/>
            <wp:effectExtent l="0" t="0" r="0" b="0"/>
            <wp:wrapSquare wrapText="largest"/>
            <wp:docPr id="10" name="Immagin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8" descr=""/>
                    <pic:cNvPicPr>
                      <a:picLocks noChangeAspect="1" noChangeArrowheads="1"/>
                    </pic:cNvPicPr>
                  </pic:nvPicPr>
                  <pic:blipFill>
                    <a:blip r:embed="rId12"/>
                    <a:stretch>
                      <a:fillRect/>
                    </a:stretch>
                  </pic:blipFill>
                  <pic:spPr bwMode="auto">
                    <a:xfrm>
                      <a:off x="0" y="0"/>
                      <a:ext cx="6683375" cy="1456690"/>
                    </a:xfrm>
                    <a:prstGeom prst="rect">
                      <a:avLst/>
                    </a:prstGeom>
                  </pic:spPr>
                </pic:pic>
              </a:graphicData>
            </a:graphic>
          </wp:anchor>
        </w:drawing>
      </w:r>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Titolo2"/>
        <w:numPr>
          <w:ilvl w:val="1"/>
          <w:numId w:val="74"/>
        </w:numPr>
        <w:ind w:left="851" w:hanging="491"/>
        <w:rPr/>
      </w:pPr>
      <w:bookmarkStart w:id="33" w:name="_Toc192666975"/>
      <w:bookmarkStart w:id="34" w:name="_Toc130056260"/>
      <w:r>
        <w:rPr/>
        <w:t>Servizi conto terzi e partite di giro</w:t>
      </w:r>
      <w:bookmarkEnd w:id="33"/>
      <w:bookmarkEnd w:id="34"/>
    </w:p>
    <w:p>
      <w:pPr>
        <w:pStyle w:val="Normal"/>
        <w:spacing w:lineRule="auto" w:line="240" w:before="0" w:after="0"/>
        <w:rPr>
          <w:rFonts w:ascii="Arial" w:hAnsi="Arial" w:eastAsia="Times New Roman" w:cs="Arial"/>
          <w:color w:val="auto"/>
          <w:sz w:val="20"/>
          <w:szCs w:val="20"/>
          <w:lang w:eastAsia="it-IT"/>
        </w:rPr>
      </w:pPr>
      <w:r>
        <w:rPr>
          <w:rFonts w:eastAsia="Times New Roman" w:cs="Arial" w:ascii="Arial" w:hAnsi="Arial"/>
          <w:color w:val="auto"/>
          <w:sz w:val="20"/>
          <w:szCs w:val="20"/>
          <w:lang w:eastAsia="it-IT"/>
        </w:rPr>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t xml:space="preserve">L’Organo di revisione ha provveduto ad accertare l’equivalenza tra gli accertamenti e gli impegni di spesa dei capitoli relativi ai servizi per conto terzi e risultano </w:t>
      </w:r>
      <w:r>
        <w:rPr>
          <w:rFonts w:eastAsia="Times New Roman" w:cs="Arial" w:ascii="Arial" w:hAnsi="Arial"/>
          <w:b/>
          <w:i/>
          <w:color w:val="auto"/>
          <w:szCs w:val="22"/>
          <w:lang w:eastAsia="it-IT"/>
        </w:rPr>
        <w:t>essere</w:t>
      </w:r>
      <w:r>
        <w:rPr>
          <w:rFonts w:eastAsia="Times New Roman" w:cs="Arial" w:ascii="Arial" w:hAnsi="Arial"/>
          <w:color w:val="auto"/>
          <w:szCs w:val="22"/>
          <w:lang w:eastAsia="it-IT"/>
        </w:rPr>
        <w:t xml:space="preserve"> equivalenti.</w:t>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spacing w:lineRule="auto" w:line="240" w:before="0" w:after="0"/>
        <w:rPr>
          <w:rFonts w:ascii="Arial" w:hAnsi="Arial" w:eastAsia="Times New Roman" w:cs="Arial"/>
          <w:i/>
          <w:i/>
          <w:iCs/>
          <w:color w:val="00B0F0"/>
          <w:szCs w:val="22"/>
          <w:lang w:eastAsia="it-IT"/>
        </w:rPr>
      </w:pPr>
      <w:r>
        <w:rPr>
          <w:rFonts w:eastAsia="Times New Roman" w:cs="Arial" w:ascii="Arial" w:hAnsi="Arial"/>
          <w:color w:val="auto"/>
          <w:szCs w:val="22"/>
          <w:lang w:eastAsia="it-IT"/>
        </w:rPr>
        <w:t xml:space="preserve">L’Organo di revisione ha verificato che la contabilizzazione delle poste inserite tra i servizi per conto di terzi e le partite di giro è conforme con quanto stabilito dal principio contabile applicato 4/2, par. 7. </w:t>
      </w:r>
    </w:p>
    <w:p>
      <w:pPr>
        <w:pStyle w:val="Normal"/>
        <w:spacing w:lineRule="auto" w:line="240" w:before="0" w:after="0"/>
        <w:rPr>
          <w:rFonts w:ascii="Arial" w:hAnsi="Arial" w:eastAsia="Times New Roman" w:cs="Arial"/>
          <w:i/>
          <w:i/>
          <w:iCs/>
          <w:color w:val="00B0F0"/>
          <w:szCs w:val="22"/>
          <w:lang w:eastAsia="it-IT"/>
        </w:rPr>
      </w:pPr>
      <w:r>
        <w:rPr>
          <w:rFonts w:eastAsia="Times New Roman" w:cs="Arial" w:ascii="Arial" w:hAnsi="Arial"/>
          <w:i/>
          <w:iCs/>
          <w:color w:val="00B0F0"/>
          <w:szCs w:val="22"/>
          <w:lang w:eastAsia="it-IT"/>
        </w:rPr>
      </w:r>
    </w:p>
    <w:p>
      <w:pPr>
        <w:pStyle w:val="Normal"/>
        <w:numPr>
          <w:ilvl w:val="0"/>
          <w:numId w:val="0"/>
        </w:numPr>
        <w:ind w:left="0" w:hanging="0"/>
        <w:jc w:val="both"/>
        <w:rPr/>
      </w:pPr>
      <w:r>
        <w:rPr>
          <w:rFonts w:eastAsia="Times New Roman" w:cs="Arial" w:ascii="Arial" w:hAnsi="Arial"/>
          <w:color w:val="auto"/>
          <w:sz w:val="22"/>
          <w:szCs w:val="22"/>
          <w:lang w:eastAsia="it-IT"/>
        </w:rPr>
        <w:t>L’Organo di revisione ha verificato che l</w:t>
      </w:r>
      <w:r>
        <w:rPr>
          <w:rFonts w:eastAsia="Times New Roman" w:cs="Arial" w:ascii="arial;helvetica;sans-serif" w:hAnsi="arial;helvetica;sans-serif"/>
          <w:b w:val="false"/>
          <w:i w:val="false"/>
          <w:caps w:val="false"/>
          <w:smallCaps w:val="false"/>
          <w:color w:val="000000"/>
          <w:spacing w:val="0"/>
          <w:sz w:val="22"/>
          <w:szCs w:val="22"/>
          <w:lang w:eastAsia="it-IT"/>
        </w:rPr>
        <w:t xml:space="preserve">e partite di giro riportano crediti/debiti anche superiori ai 3 anni, principalmente dovuti a depositi cauzionali. </w:t>
      </w:r>
    </w:p>
    <w:p>
      <w:pPr>
        <w:pStyle w:val="Normal"/>
        <w:spacing w:lineRule="auto" w:line="240" w:before="0" w:after="0"/>
        <w:rPr>
          <w:rFonts w:ascii="Arial" w:hAnsi="Arial" w:eastAsia="Times New Roman" w:cs="Arial"/>
          <w:i/>
          <w:i/>
          <w:iCs/>
          <w:color w:val="auto"/>
          <w:szCs w:val="22"/>
          <w:lang w:eastAsia="it-IT"/>
        </w:rPr>
      </w:pPr>
      <w:r>
        <w:rPr>
          <w:rFonts w:eastAsia="Times New Roman" w:cs="Arial" w:ascii="Arial" w:hAnsi="Arial"/>
          <w:i/>
          <w:iCs/>
          <w:color w:val="auto"/>
          <w:szCs w:val="22"/>
          <w:lang w:eastAsia="it-IT"/>
        </w:rPr>
      </w:r>
    </w:p>
    <w:p>
      <w:pPr>
        <w:pStyle w:val="Titolo1"/>
        <w:numPr>
          <w:ilvl w:val="0"/>
          <w:numId w:val="75"/>
        </w:numPr>
        <w:ind w:left="284" w:hanging="284"/>
        <w:rPr/>
      </w:pPr>
      <w:bookmarkStart w:id="35" w:name="_Toc192666976"/>
      <w:bookmarkStart w:id="36" w:name="Copia_di__Toc127770137_1"/>
      <w:bookmarkStart w:id="37" w:name="Copia_di__Toc98417439_1"/>
      <w:bookmarkEnd w:id="36"/>
      <w:bookmarkEnd w:id="37"/>
      <w:r>
        <w:rPr/>
        <w:t>Gestione finanziaria</w:t>
      </w:r>
      <w:bookmarkEnd w:id="35"/>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L’Organo di revisione, in riferimento alla gestione finanziaria, rileva e attesta quanto segue.</w:t>
      </w:r>
    </w:p>
    <w:p>
      <w:pPr>
        <w:pStyle w:val="Titolo2"/>
        <w:numPr>
          <w:ilvl w:val="1"/>
          <w:numId w:val="76"/>
        </w:numPr>
        <w:ind w:left="851" w:hanging="491"/>
        <w:rPr/>
      </w:pPr>
      <w:bookmarkStart w:id="38" w:name="_Toc192666977"/>
      <w:bookmarkStart w:id="39" w:name="_Toc130056244"/>
      <w:bookmarkStart w:id="40" w:name="_Toc127770138"/>
      <w:bookmarkStart w:id="41" w:name="_Toc98417440"/>
      <w:r>
        <w:rPr/>
        <w:t>Fondo di cassa</w:t>
      </w:r>
      <w:bookmarkEnd w:id="38"/>
      <w:bookmarkEnd w:id="39"/>
      <w:bookmarkEnd w:id="40"/>
      <w:bookmarkEnd w:id="41"/>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Il fondo di cassa al 31/12/2024 risultante dal conto del Tesoriere </w:t>
      </w:r>
      <w:r>
        <w:rPr>
          <w:rFonts w:eastAsia="Times New Roman" w:cs="Arial" w:ascii="Arial" w:hAnsi="Arial"/>
          <w:b/>
          <w:color w:val="auto"/>
          <w:szCs w:val="22"/>
          <w:lang w:eastAsia="it-IT"/>
        </w:rPr>
        <w:t>corrisponde</w:t>
      </w:r>
      <w:r>
        <w:rPr>
          <w:rFonts w:eastAsia="Times New Roman" w:cs="Arial" w:ascii="Arial" w:hAnsi="Arial"/>
          <w:color w:val="auto"/>
          <w:szCs w:val="22"/>
          <w:lang w:eastAsia="it-IT"/>
        </w:rPr>
        <w:t xml:space="preserve"> alle risultanze delle scritture contabili dell’Ente.</w:t>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tbl>
      <w:tblPr>
        <w:tblW w:w="9634" w:type="dxa"/>
        <w:jc w:val="left"/>
        <w:tblInd w:w="55" w:type="dxa"/>
        <w:tblLayout w:type="fixed"/>
        <w:tblCellMar>
          <w:top w:w="55" w:type="dxa"/>
          <w:left w:w="55" w:type="dxa"/>
          <w:bottom w:w="55" w:type="dxa"/>
          <w:right w:w="55" w:type="dxa"/>
        </w:tblCellMar>
      </w:tblPr>
      <w:tblGrid>
        <w:gridCol w:w="6738"/>
        <w:gridCol w:w="2895"/>
      </w:tblGrid>
      <w:tr>
        <w:trPr/>
        <w:tc>
          <w:tcPr>
            <w:tcW w:w="6738" w:type="dxa"/>
            <w:tcBorders>
              <w:top w:val="single" w:sz="4" w:space="0" w:color="000000"/>
              <w:left w:val="single" w:sz="4" w:space="0" w:color="000000"/>
              <w:bottom w:val="single" w:sz="4" w:space="0" w:color="000000"/>
            </w:tcBorders>
          </w:tcPr>
          <w:p>
            <w:pPr>
              <w:pStyle w:val="Normal"/>
              <w:widowControl w:val="false"/>
              <w:spacing w:before="0" w:after="200"/>
              <w:rPr>
                <w:rFonts w:ascii="Arial" w:hAnsi="Arial"/>
                <w:sz w:val="22"/>
                <w:szCs w:val="22"/>
              </w:rPr>
            </w:pPr>
            <w:r>
              <w:rPr>
                <w:rFonts w:ascii="Arial" w:hAnsi="Arial"/>
                <w:sz w:val="22"/>
                <w:szCs w:val="22"/>
              </w:rPr>
              <w:t>Fondo di cassa al 31 dicembre 2024 (da conto del Tesoriere)</w:t>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right"/>
              <w:rPr>
                <w:rFonts w:ascii="Arial" w:hAnsi="Arial"/>
                <w:sz w:val="22"/>
                <w:szCs w:val="22"/>
              </w:rPr>
            </w:pPr>
            <w:r>
              <w:rPr>
                <w:rFonts w:ascii="Arial" w:hAnsi="Arial"/>
                <w:sz w:val="22"/>
                <w:szCs w:val="22"/>
              </w:rPr>
              <w:t xml:space="preserve">€ </w:t>
            </w:r>
            <w:r>
              <w:rPr>
                <w:rFonts w:ascii="Arial" w:hAnsi="Arial"/>
                <w:sz w:val="22"/>
                <w:szCs w:val="22"/>
              </w:rPr>
              <w:t>8.711.534,55</w:t>
            </w:r>
          </w:p>
        </w:tc>
      </w:tr>
      <w:tr>
        <w:trPr/>
        <w:tc>
          <w:tcPr>
            <w:tcW w:w="6738" w:type="dxa"/>
            <w:tcBorders>
              <w:left w:val="single" w:sz="4" w:space="0" w:color="000000"/>
              <w:bottom w:val="single" w:sz="4" w:space="0" w:color="000000"/>
            </w:tcBorders>
          </w:tcPr>
          <w:p>
            <w:pPr>
              <w:pStyle w:val="Normal"/>
              <w:widowControl w:val="false"/>
              <w:spacing w:before="0" w:after="200"/>
              <w:rPr>
                <w:rFonts w:ascii="Arial" w:hAnsi="Arial"/>
                <w:sz w:val="22"/>
                <w:szCs w:val="22"/>
              </w:rPr>
            </w:pPr>
            <w:r>
              <w:rPr>
                <w:rFonts w:ascii="Arial" w:hAnsi="Arial"/>
                <w:sz w:val="22"/>
                <w:szCs w:val="22"/>
              </w:rPr>
              <w:t>Fondo di cassa al 31 dicembre 2024 (da scritture contabili)</w:t>
            </w:r>
          </w:p>
        </w:tc>
        <w:tc>
          <w:tcPr>
            <w:tcW w:w="2895" w:type="dxa"/>
            <w:tcBorders>
              <w:left w:val="single" w:sz="4" w:space="0" w:color="000000"/>
              <w:bottom w:val="single" w:sz="4" w:space="0" w:color="000000"/>
              <w:right w:val="single" w:sz="4" w:space="0" w:color="000000"/>
            </w:tcBorders>
          </w:tcPr>
          <w:p>
            <w:pPr>
              <w:pStyle w:val="Normal"/>
              <w:widowControl w:val="false"/>
              <w:spacing w:before="0" w:after="200"/>
              <w:jc w:val="right"/>
              <w:rPr>
                <w:rFonts w:ascii="Arial" w:hAnsi="Arial"/>
                <w:sz w:val="22"/>
                <w:szCs w:val="22"/>
              </w:rPr>
            </w:pPr>
            <w:r>
              <w:rPr>
                <w:rFonts w:ascii="Arial" w:hAnsi="Arial"/>
                <w:sz w:val="22"/>
                <w:szCs w:val="22"/>
              </w:rPr>
              <w:t xml:space="preserve">€ </w:t>
            </w:r>
            <w:r>
              <w:rPr>
                <w:rFonts w:ascii="Arial" w:hAnsi="Arial"/>
                <w:sz w:val="22"/>
                <w:szCs w:val="22"/>
              </w:rPr>
              <w:t>8.711.534,55</w:t>
            </w:r>
          </w:p>
        </w:tc>
      </w:tr>
    </w:tbl>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Tutte le entrate, siano esse di natura tributaria o patrimoniale, affidate in gestione ai soggetti di cui all'art. 52, co. 5, lettera b), numeri 1), 2) e 4) del d.lgs. 15/12/1997 n. 446, sono affluite direttamente alla tesoreria dell'Ente nel corso del 2024 (art. 1, co. 786, legge di bilancio 2020).</w:t>
      </w:r>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Nell’ultimo triennio, l’andamento della consistenza del fondo di cassa finale è il seguente:</w:t>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tbl>
      <w:tblPr>
        <w:tblW w:w="9049" w:type="dxa"/>
        <w:jc w:val="left"/>
        <w:tblInd w:w="-2" w:type="dxa"/>
        <w:tblLayout w:type="fixed"/>
        <w:tblCellMar>
          <w:top w:w="0" w:type="dxa"/>
          <w:left w:w="28" w:type="dxa"/>
          <w:bottom w:w="0" w:type="dxa"/>
          <w:right w:w="28" w:type="dxa"/>
        </w:tblCellMar>
      </w:tblPr>
      <w:tblGrid>
        <w:gridCol w:w="3977"/>
        <w:gridCol w:w="1691"/>
        <w:gridCol w:w="1688"/>
        <w:gridCol w:w="1692"/>
      </w:tblGrid>
      <w:tr>
        <w:trPr>
          <w:trHeight w:val="292" w:hRule="atLeast"/>
        </w:trPr>
        <w:tc>
          <w:tcPr>
            <w:tcW w:w="3977"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center"/>
              <w:rPr/>
            </w:pPr>
            <w:r>
              <w:rPr/>
            </w:r>
          </w:p>
        </w:tc>
        <w:tc>
          <w:tcPr>
            <w:tcW w:w="1691"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center"/>
              <w:rPr/>
            </w:pPr>
            <w:r>
              <w:rPr>
                <w:b/>
              </w:rPr>
              <w:t>2022</w:t>
            </w:r>
          </w:p>
        </w:tc>
        <w:tc>
          <w:tcPr>
            <w:tcW w:w="1688"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center"/>
              <w:rPr/>
            </w:pPr>
            <w:r>
              <w:rPr>
                <w:b/>
              </w:rPr>
              <w:t>2023</w:t>
            </w:r>
          </w:p>
        </w:tc>
        <w:tc>
          <w:tcPr>
            <w:tcW w:w="169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center"/>
              <w:rPr/>
            </w:pPr>
            <w:r>
              <w:rPr>
                <w:b/>
              </w:rPr>
              <w:t>2024</w:t>
            </w:r>
          </w:p>
        </w:tc>
      </w:tr>
      <w:tr>
        <w:trPr>
          <w:trHeight w:val="292" w:hRule="atLeast"/>
        </w:trPr>
        <w:tc>
          <w:tcPr>
            <w:tcW w:w="3977" w:type="dxa"/>
            <w:tcBorders>
              <w:left w:val="single" w:sz="2" w:space="0" w:color="000000"/>
              <w:bottom w:val="single" w:sz="2" w:space="0" w:color="000000"/>
            </w:tcBorders>
            <w:vAlign w:val="center"/>
          </w:tcPr>
          <w:p>
            <w:pPr>
              <w:pStyle w:val="Normal"/>
              <w:widowControl w:val="false"/>
              <w:tabs>
                <w:tab w:val="clear" w:pos="708"/>
              </w:tabs>
              <w:spacing w:before="0" w:after="200"/>
              <w:jc w:val="left"/>
              <w:rPr/>
            </w:pPr>
            <w:r>
              <w:rPr/>
              <w:t xml:space="preserve">        </w:t>
            </w:r>
            <w:r>
              <w:rPr/>
              <w:t>Fondo cassa complessivo al 31.12</w:t>
            </w:r>
          </w:p>
        </w:tc>
        <w:tc>
          <w:tcPr>
            <w:tcW w:w="1691" w:type="dxa"/>
            <w:tcBorders>
              <w:left w:val="single" w:sz="2" w:space="0" w:color="000000"/>
              <w:bottom w:val="single" w:sz="2" w:space="0" w:color="000000"/>
            </w:tcBorders>
            <w:vAlign w:val="center"/>
          </w:tcPr>
          <w:p>
            <w:pPr>
              <w:pStyle w:val="Normal"/>
              <w:widowControl w:val="false"/>
              <w:tabs>
                <w:tab w:val="clear" w:pos="708"/>
              </w:tabs>
              <w:spacing w:before="0" w:after="200"/>
              <w:jc w:val="right"/>
              <w:rPr/>
            </w:pPr>
            <w:r>
              <w:rPr/>
              <w:t xml:space="preserve"> € </w:t>
            </w:r>
            <w:r>
              <w:rPr/>
              <w:t>6.951.777,36</w:t>
            </w:r>
          </w:p>
        </w:tc>
        <w:tc>
          <w:tcPr>
            <w:tcW w:w="1688" w:type="dxa"/>
            <w:tcBorders>
              <w:left w:val="single" w:sz="2" w:space="0" w:color="000000"/>
              <w:bottom w:val="single" w:sz="2" w:space="0" w:color="000000"/>
            </w:tcBorders>
            <w:vAlign w:val="center"/>
          </w:tcPr>
          <w:p>
            <w:pPr>
              <w:pStyle w:val="Normal"/>
              <w:widowControl w:val="false"/>
              <w:tabs>
                <w:tab w:val="clear" w:pos="708"/>
              </w:tabs>
              <w:spacing w:before="0" w:after="200"/>
              <w:jc w:val="right"/>
              <w:rPr/>
            </w:pPr>
            <w:r>
              <w:rPr/>
              <w:t xml:space="preserve"> € </w:t>
            </w:r>
            <w:r>
              <w:rPr/>
              <w:t>5.040.984,55</w:t>
            </w:r>
          </w:p>
        </w:tc>
        <w:tc>
          <w:tcPr>
            <w:tcW w:w="1692"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pPr>
            <w:r>
              <w:rPr/>
              <w:t xml:space="preserve"> </w:t>
            </w:r>
            <w:r>
              <w:rPr>
                <w:rFonts w:ascii="Arial" w:hAnsi="Arial"/>
                <w:sz w:val="22"/>
                <w:szCs w:val="22"/>
              </w:rPr>
              <w:t xml:space="preserve">€ </w:t>
            </w:r>
            <w:r>
              <w:rPr>
                <w:rFonts w:ascii="Arial" w:hAnsi="Arial"/>
                <w:sz w:val="22"/>
                <w:szCs w:val="22"/>
              </w:rPr>
              <w:t>8.711.534,55</w:t>
            </w:r>
          </w:p>
        </w:tc>
      </w:tr>
    </w:tbl>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tbl>
      <w:tblPr>
        <w:tblW w:w="9189" w:type="dxa"/>
        <w:jc w:val="left"/>
        <w:tblInd w:w="-30" w:type="dxa"/>
        <w:tblLayout w:type="fixed"/>
        <w:tblCellMar>
          <w:top w:w="0" w:type="dxa"/>
          <w:left w:w="30" w:type="dxa"/>
          <w:bottom w:w="0" w:type="dxa"/>
          <w:right w:w="30" w:type="dxa"/>
        </w:tblCellMar>
      </w:tblPr>
      <w:tblGrid>
        <w:gridCol w:w="3897"/>
        <w:gridCol w:w="1807"/>
        <w:gridCol w:w="1502"/>
        <w:gridCol w:w="1982"/>
      </w:tblGrid>
      <w:tr>
        <w:trPr>
          <w:trHeight w:val="340" w:hRule="atLeast"/>
        </w:trPr>
        <w:tc>
          <w:tcPr>
            <w:tcW w:w="3897" w:type="dxa"/>
            <w:tcBorders/>
            <w:vAlign w:val="center"/>
          </w:tcPr>
          <w:p>
            <w:pPr>
              <w:pStyle w:val="Normal"/>
              <w:widowControl w:val="false"/>
              <w:tabs>
                <w:tab w:val="clear" w:pos="708"/>
              </w:tabs>
              <w:spacing w:before="0" w:after="200"/>
              <w:jc w:val="center"/>
              <w:rPr>
                <w:rFonts w:ascii="Arial" w:hAnsi="Arial" w:eastAsia="Times New Roman" w:cs="Arial"/>
                <w:color w:val="auto"/>
                <w:szCs w:val="22"/>
                <w:lang w:eastAsia="it-IT"/>
              </w:rPr>
            </w:pPr>
            <w:r>
              <w:rPr>
                <w:rFonts w:eastAsia="Times New Roman" w:cs="Arial" w:ascii="Arial" w:hAnsi="Arial"/>
                <w:color w:val="auto"/>
                <w:szCs w:val="22"/>
                <w:lang w:eastAsia="it-IT"/>
              </w:rPr>
            </w:r>
          </w:p>
        </w:tc>
        <w:tc>
          <w:tcPr>
            <w:tcW w:w="1807" w:type="dxa"/>
            <w:tcBorders/>
            <w:vAlign w:val="center"/>
          </w:tcPr>
          <w:p>
            <w:pPr>
              <w:pStyle w:val="Normal"/>
              <w:widowControl w:val="false"/>
              <w:tabs>
                <w:tab w:val="clear" w:pos="708"/>
              </w:tabs>
              <w:spacing w:before="0" w:after="200"/>
              <w:jc w:val="center"/>
              <w:rPr>
                <w:rFonts w:ascii="Arial" w:hAnsi="Arial" w:eastAsia="Times New Roman" w:cs="Arial"/>
                <w:color w:val="auto"/>
                <w:szCs w:val="22"/>
                <w:lang w:eastAsia="it-IT"/>
              </w:rPr>
            </w:pPr>
            <w:r>
              <w:rPr>
                <w:b/>
              </w:rPr>
              <w:t>2022</w:t>
            </w:r>
          </w:p>
        </w:tc>
        <w:tc>
          <w:tcPr>
            <w:tcW w:w="1502" w:type="dxa"/>
            <w:tcBorders/>
            <w:vAlign w:val="center"/>
          </w:tcPr>
          <w:p>
            <w:pPr>
              <w:pStyle w:val="Normal"/>
              <w:widowControl w:val="false"/>
              <w:tabs>
                <w:tab w:val="clear" w:pos="708"/>
              </w:tabs>
              <w:spacing w:before="0" w:after="200"/>
              <w:jc w:val="center"/>
              <w:rPr>
                <w:rFonts w:ascii="Arial" w:hAnsi="Arial" w:eastAsia="Times New Roman" w:cs="Arial"/>
                <w:color w:val="auto"/>
                <w:szCs w:val="22"/>
                <w:lang w:eastAsia="it-IT"/>
              </w:rPr>
            </w:pPr>
            <w:r>
              <w:rPr>
                <w:b/>
              </w:rPr>
              <w:t>2023</w:t>
            </w:r>
          </w:p>
        </w:tc>
        <w:tc>
          <w:tcPr>
            <w:tcW w:w="1982" w:type="dxa"/>
            <w:tcBorders/>
            <w:vAlign w:val="center"/>
          </w:tcPr>
          <w:p>
            <w:pPr>
              <w:pStyle w:val="Normal"/>
              <w:widowControl w:val="false"/>
              <w:tabs>
                <w:tab w:val="clear" w:pos="708"/>
              </w:tabs>
              <w:spacing w:before="0" w:after="200"/>
              <w:jc w:val="center"/>
              <w:rPr>
                <w:rFonts w:ascii="Arial" w:hAnsi="Arial" w:eastAsia="Times New Roman" w:cs="Arial"/>
                <w:color w:val="auto"/>
                <w:szCs w:val="22"/>
                <w:lang w:eastAsia="it-IT"/>
              </w:rPr>
            </w:pPr>
            <w:r>
              <w:rPr>
                <w:b/>
              </w:rPr>
              <w:t>2024</w:t>
            </w:r>
          </w:p>
        </w:tc>
      </w:tr>
      <w:tr>
        <w:trPr>
          <w:trHeight w:val="1072" w:hRule="atLeast"/>
        </w:trPr>
        <w:tc>
          <w:tcPr>
            <w:tcW w:w="3897" w:type="dxa"/>
            <w:tcBorders/>
            <w:vAlign w:val="center"/>
          </w:tcPr>
          <w:p>
            <w:pPr>
              <w:pStyle w:val="Normal"/>
              <w:widowControl w:val="false"/>
              <w:tabs>
                <w:tab w:val="clear" w:pos="708"/>
              </w:tabs>
              <w:spacing w:before="0" w:after="200"/>
              <w:jc w:val="left"/>
              <w:rPr>
                <w:rFonts w:ascii="Arial" w:hAnsi="Arial" w:eastAsia="Times New Roman" w:cs="Arial"/>
                <w:color w:val="auto"/>
                <w:szCs w:val="22"/>
                <w:lang w:eastAsia="it-IT"/>
              </w:rPr>
            </w:pPr>
            <w:r>
              <w:rPr/>
              <w:t xml:space="preserve">Importo dell’anticipazione complessivamente concedibile ai sensi </w:t>
              <w:br/>
              <w:t>dell’art. 222 del TUEL</w:t>
            </w:r>
          </w:p>
        </w:tc>
        <w:tc>
          <w:tcPr>
            <w:tcW w:w="1807"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5.000.000,00</w:t>
            </w:r>
          </w:p>
        </w:tc>
        <w:tc>
          <w:tcPr>
            <w:tcW w:w="1502"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5.000.000,00</w:t>
            </w:r>
          </w:p>
        </w:tc>
        <w:tc>
          <w:tcPr>
            <w:tcW w:w="1982"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5.000.000,00</w:t>
            </w:r>
          </w:p>
        </w:tc>
      </w:tr>
      <w:tr>
        <w:trPr>
          <w:trHeight w:val="638" w:hRule="atLeast"/>
        </w:trPr>
        <w:tc>
          <w:tcPr>
            <w:tcW w:w="3897" w:type="dxa"/>
            <w:tcBorders/>
            <w:vAlign w:val="center"/>
          </w:tcPr>
          <w:p>
            <w:pPr>
              <w:pStyle w:val="Normal"/>
              <w:widowControl w:val="false"/>
              <w:tabs>
                <w:tab w:val="clear" w:pos="708"/>
              </w:tabs>
              <w:spacing w:before="0" w:after="200"/>
              <w:jc w:val="left"/>
              <w:rPr>
                <w:rFonts w:ascii="Arial" w:hAnsi="Arial" w:eastAsia="Times New Roman" w:cs="Arial"/>
                <w:color w:val="auto"/>
                <w:szCs w:val="22"/>
                <w:lang w:eastAsia="it-IT"/>
              </w:rPr>
            </w:pPr>
            <w:r>
              <w:rPr/>
              <w:t>Somma delle entrate da anticipazioni di tesoreria (Titolo 7, tipologia 100)</w:t>
            </w:r>
          </w:p>
        </w:tc>
        <w:tc>
          <w:tcPr>
            <w:tcW w:w="1807"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0,00</w:t>
            </w:r>
          </w:p>
        </w:tc>
        <w:tc>
          <w:tcPr>
            <w:tcW w:w="1502"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0,00</w:t>
            </w:r>
          </w:p>
        </w:tc>
        <w:tc>
          <w:tcPr>
            <w:tcW w:w="1982"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0,00</w:t>
            </w:r>
          </w:p>
        </w:tc>
      </w:tr>
      <w:tr>
        <w:trPr>
          <w:trHeight w:val="1204" w:hRule="atLeast"/>
        </w:trPr>
        <w:tc>
          <w:tcPr>
            <w:tcW w:w="3897" w:type="dxa"/>
            <w:tcBorders/>
            <w:vAlign w:val="center"/>
          </w:tcPr>
          <w:p>
            <w:pPr>
              <w:pStyle w:val="Normal"/>
              <w:widowControl w:val="false"/>
              <w:tabs>
                <w:tab w:val="clear" w:pos="708"/>
              </w:tabs>
              <w:spacing w:before="0" w:after="200"/>
              <w:jc w:val="left"/>
              <w:rPr>
                <w:rFonts w:ascii="Arial" w:hAnsi="Arial" w:eastAsia="Times New Roman" w:cs="Arial"/>
                <w:color w:val="auto"/>
                <w:szCs w:val="22"/>
                <w:lang w:eastAsia="it-IT"/>
              </w:rPr>
            </w:pPr>
            <w:r>
              <w:rPr/>
              <w:t>Somma delle uscite per chiusura anticipazioni di tesoreria (Missione 60 - Programma 01 - Titolo 5)</w:t>
            </w:r>
          </w:p>
        </w:tc>
        <w:tc>
          <w:tcPr>
            <w:tcW w:w="1807"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0,00</w:t>
            </w:r>
          </w:p>
        </w:tc>
        <w:tc>
          <w:tcPr>
            <w:tcW w:w="1502"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0,00</w:t>
            </w:r>
          </w:p>
        </w:tc>
        <w:tc>
          <w:tcPr>
            <w:tcW w:w="1982"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0,00</w:t>
            </w:r>
          </w:p>
        </w:tc>
      </w:tr>
      <w:tr>
        <w:trPr>
          <w:trHeight w:val="626" w:hRule="atLeast"/>
        </w:trPr>
        <w:tc>
          <w:tcPr>
            <w:tcW w:w="3897" w:type="dxa"/>
            <w:tcBorders/>
            <w:vAlign w:val="center"/>
          </w:tcPr>
          <w:p>
            <w:pPr>
              <w:pStyle w:val="Normal"/>
              <w:widowControl w:val="false"/>
              <w:tabs>
                <w:tab w:val="clear" w:pos="708"/>
              </w:tabs>
              <w:spacing w:before="0" w:after="200"/>
              <w:jc w:val="left"/>
              <w:rPr>
                <w:rFonts w:ascii="Arial" w:hAnsi="Arial" w:eastAsia="Times New Roman" w:cs="Arial"/>
                <w:color w:val="auto"/>
                <w:szCs w:val="22"/>
                <w:lang w:eastAsia="it-IT"/>
              </w:rPr>
            </w:pPr>
            <w:r>
              <w:rPr/>
              <w:t>Importo anticipazione non restituita al 31/12 (*)</w:t>
            </w:r>
          </w:p>
        </w:tc>
        <w:tc>
          <w:tcPr>
            <w:tcW w:w="1807"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0,00</w:t>
            </w:r>
          </w:p>
        </w:tc>
        <w:tc>
          <w:tcPr>
            <w:tcW w:w="1502"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0,00</w:t>
            </w:r>
          </w:p>
        </w:tc>
        <w:tc>
          <w:tcPr>
            <w:tcW w:w="1982"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0,00</w:t>
            </w:r>
          </w:p>
        </w:tc>
      </w:tr>
      <w:tr>
        <w:trPr>
          <w:trHeight w:val="316" w:hRule="atLeast"/>
        </w:trPr>
        <w:tc>
          <w:tcPr>
            <w:tcW w:w="3897" w:type="dxa"/>
            <w:tcBorders/>
            <w:vAlign w:val="center"/>
          </w:tcPr>
          <w:p>
            <w:pPr>
              <w:pStyle w:val="Normal"/>
              <w:widowControl w:val="false"/>
              <w:tabs>
                <w:tab w:val="clear" w:pos="708"/>
              </w:tabs>
              <w:spacing w:before="0" w:after="200"/>
              <w:jc w:val="left"/>
              <w:rPr>
                <w:rFonts w:ascii="Arial" w:hAnsi="Arial" w:eastAsia="Times New Roman" w:cs="Arial"/>
                <w:color w:val="auto"/>
                <w:szCs w:val="22"/>
                <w:lang w:eastAsia="it-IT"/>
              </w:rPr>
            </w:pPr>
            <w:r>
              <w:rPr/>
              <w:t>Giorni di utilizzo dell'anticipazione</w:t>
            </w:r>
          </w:p>
        </w:tc>
        <w:tc>
          <w:tcPr>
            <w:tcW w:w="1807"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0,00</w:t>
            </w:r>
          </w:p>
        </w:tc>
        <w:tc>
          <w:tcPr>
            <w:tcW w:w="1502"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0,00</w:t>
            </w:r>
          </w:p>
        </w:tc>
        <w:tc>
          <w:tcPr>
            <w:tcW w:w="1982"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0,00</w:t>
            </w:r>
          </w:p>
        </w:tc>
      </w:tr>
      <w:tr>
        <w:trPr>
          <w:trHeight w:val="1325" w:hRule="atLeast"/>
        </w:trPr>
        <w:tc>
          <w:tcPr>
            <w:tcW w:w="3897" w:type="dxa"/>
            <w:tcBorders/>
            <w:vAlign w:val="center"/>
          </w:tcPr>
          <w:p>
            <w:pPr>
              <w:pStyle w:val="Normal"/>
              <w:widowControl w:val="false"/>
              <w:tabs>
                <w:tab w:val="clear" w:pos="708"/>
              </w:tabs>
              <w:spacing w:before="0" w:after="200"/>
              <w:jc w:val="left"/>
              <w:rPr>
                <w:rFonts w:ascii="Arial" w:hAnsi="Arial" w:eastAsia="Times New Roman" w:cs="Arial"/>
                <w:color w:val="auto"/>
                <w:szCs w:val="22"/>
                <w:lang w:eastAsia="it-IT"/>
              </w:rPr>
            </w:pPr>
            <w:r>
              <w:rPr/>
              <w:t>Importo medio della anticipazione giornaliera utilizzata (calcolo automatico dato da sommatoria anticipazioni concesse/giorni di utilizzo)</w:t>
            </w:r>
          </w:p>
        </w:tc>
        <w:tc>
          <w:tcPr>
            <w:tcW w:w="1807"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0,00</w:t>
            </w:r>
          </w:p>
        </w:tc>
        <w:tc>
          <w:tcPr>
            <w:tcW w:w="1502"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0,00</w:t>
            </w:r>
          </w:p>
        </w:tc>
        <w:tc>
          <w:tcPr>
            <w:tcW w:w="1982"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0,00</w:t>
            </w:r>
          </w:p>
        </w:tc>
      </w:tr>
      <w:tr>
        <w:trPr>
          <w:trHeight w:val="939" w:hRule="atLeast"/>
        </w:trPr>
        <w:tc>
          <w:tcPr>
            <w:tcW w:w="3897" w:type="dxa"/>
            <w:tcBorders/>
            <w:vAlign w:val="center"/>
          </w:tcPr>
          <w:p>
            <w:pPr>
              <w:pStyle w:val="Normal"/>
              <w:widowControl w:val="false"/>
              <w:tabs>
                <w:tab w:val="clear" w:pos="708"/>
              </w:tabs>
              <w:spacing w:before="0" w:after="200"/>
              <w:jc w:val="left"/>
              <w:rPr>
                <w:rFonts w:ascii="Arial" w:hAnsi="Arial" w:eastAsia="Times New Roman" w:cs="Arial"/>
                <w:color w:val="auto"/>
                <w:szCs w:val="22"/>
                <w:lang w:eastAsia="it-IT"/>
              </w:rPr>
            </w:pPr>
            <w:r>
              <w:rPr/>
              <w:t>Importo delle somme maturate a titolo di interessi passivi al 31/12</w:t>
            </w:r>
          </w:p>
        </w:tc>
        <w:tc>
          <w:tcPr>
            <w:tcW w:w="1807"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w:t>
            </w:r>
          </w:p>
        </w:tc>
        <w:tc>
          <w:tcPr>
            <w:tcW w:w="1502"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w:t>
            </w:r>
          </w:p>
        </w:tc>
        <w:tc>
          <w:tcPr>
            <w:tcW w:w="1982" w:type="dxa"/>
            <w:tcBorders/>
            <w:vAlign w:val="center"/>
          </w:tcPr>
          <w:p>
            <w:pPr>
              <w:pStyle w:val="Normal"/>
              <w:widowControl w:val="false"/>
              <w:tabs>
                <w:tab w:val="clear" w:pos="708"/>
              </w:tabs>
              <w:spacing w:before="0" w:after="200"/>
              <w:jc w:val="right"/>
              <w:rPr>
                <w:rFonts w:ascii="Arial" w:hAnsi="Arial" w:eastAsia="Times New Roman" w:cs="Arial"/>
                <w:color w:val="auto"/>
                <w:szCs w:val="22"/>
                <w:lang w:eastAsia="it-IT"/>
              </w:rPr>
            </w:pPr>
            <w:r>
              <w:rPr/>
              <w:t>0</w:t>
            </w:r>
          </w:p>
        </w:tc>
      </w:tr>
    </w:tbl>
    <w:p>
      <w:pPr>
        <w:pStyle w:val="Normal"/>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L‘Organo ha verificato che </w:t>
      </w:r>
      <w:r>
        <w:rPr>
          <w:rFonts w:eastAsia="Times New Roman" w:cs="Arial" w:ascii="Arial" w:hAnsi="Arial"/>
          <w:b/>
          <w:bCs/>
          <w:i/>
          <w:iCs/>
          <w:color w:val="auto"/>
          <w:szCs w:val="22"/>
          <w:lang w:eastAsia="it-IT"/>
        </w:rPr>
        <w:t>non sono</w:t>
      </w:r>
      <w:r>
        <w:rPr>
          <w:rFonts w:eastAsia="Times New Roman" w:cs="Arial" w:ascii="Arial" w:hAnsi="Arial"/>
          <w:color w:val="auto"/>
          <w:szCs w:val="22"/>
          <w:lang w:eastAsia="it-IT"/>
        </w:rPr>
        <w:t xml:space="preserve"> state attivate anticipazioni di tesoreria nel corso del 2024.</w:t>
      </w:r>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L’Organo di revisione ha verificato che l’Ente </w:t>
      </w:r>
      <w:r>
        <w:rPr>
          <w:rFonts w:eastAsia="Times New Roman" w:cs="Arial" w:ascii="Arial" w:hAnsi="Arial"/>
          <w:b/>
          <w:bCs/>
          <w:i/>
          <w:iCs/>
          <w:color w:val="auto"/>
          <w:szCs w:val="22"/>
          <w:lang w:eastAsia="it-IT"/>
        </w:rPr>
        <w:t xml:space="preserve">ha </w:t>
      </w:r>
      <w:r>
        <w:rPr>
          <w:rFonts w:eastAsia="Times New Roman" w:cs="Arial" w:ascii="Arial" w:hAnsi="Arial"/>
          <w:color w:val="auto"/>
          <w:szCs w:val="22"/>
          <w:lang w:eastAsia="it-IT"/>
        </w:rPr>
        <w:t>provveduto a determinare correttamente la giacenza di cassa vincolata al 31/12/2024, tenuto conto delle novità introdotte dall’art. 6, comma 6-</w:t>
      </w:r>
      <w:r>
        <w:rPr>
          <w:rFonts w:eastAsia="Times New Roman" w:cs="Arial" w:ascii="Arial" w:hAnsi="Arial"/>
          <w:i/>
          <w:iCs/>
          <w:color w:val="auto"/>
          <w:szCs w:val="22"/>
          <w:lang w:eastAsia="it-IT"/>
        </w:rPr>
        <w:t>octies</w:t>
      </w:r>
      <w:r>
        <w:rPr>
          <w:rFonts w:eastAsia="Times New Roman" w:cs="Arial" w:ascii="Arial" w:hAnsi="Arial"/>
          <w:color w:val="auto"/>
          <w:szCs w:val="22"/>
          <w:lang w:eastAsia="it-IT"/>
        </w:rPr>
        <w:t>, del DL 60/2024 recepite dal DM 13/02/2025.</w:t>
      </w:r>
    </w:p>
    <w:p>
      <w:pPr>
        <w:pStyle w:val="Normal"/>
        <w:widowControl w:val="false"/>
        <w:overflowPunct w:val="true"/>
        <w:spacing w:lineRule="auto" w:line="240" w:before="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L’Organo di revisione ha verificato </w:t>
      </w:r>
      <w:r>
        <w:rPr>
          <w:rFonts w:eastAsia="Times New Roman" w:cs="Arial" w:ascii="Arial" w:hAnsi="Arial"/>
          <w:b/>
          <w:bCs/>
          <w:color w:val="auto"/>
          <w:szCs w:val="22"/>
          <w:lang w:eastAsia="it-IT"/>
        </w:rPr>
        <w:t>l’esistenza</w:t>
      </w:r>
      <w:r>
        <w:rPr>
          <w:rFonts w:eastAsia="Times New Roman" w:cs="Arial" w:ascii="Arial" w:hAnsi="Arial"/>
          <w:color w:val="auto"/>
          <w:szCs w:val="22"/>
          <w:lang w:eastAsia="it-IT"/>
        </w:rPr>
        <w:t xml:space="preserve"> dell’equilibrio di cassa.</w:t>
      </w:r>
    </w:p>
    <w:p>
      <w:pPr>
        <w:pStyle w:val="Normal"/>
        <w:widowControl w:val="false"/>
        <w:overflowPunct w:val="true"/>
        <w:spacing w:lineRule="auto" w:line="240" w:before="0" w:after="120"/>
        <w:contextualSpacing/>
        <w:textAlignment w:val="baseline"/>
        <w:rPr>
          <w:rFonts w:ascii="Arial" w:hAnsi="Arial" w:eastAsia="Times New Roman" w:cs="Arial"/>
          <w:i/>
          <w:i/>
          <w:iCs/>
          <w:color w:val="00B0F0"/>
          <w:szCs w:val="22"/>
          <w:lang w:eastAsia="it-IT"/>
        </w:rPr>
      </w:pPr>
      <w:r>
        <w:rPr>
          <w:rFonts w:eastAsia="Times New Roman" w:cs="Arial" w:ascii="Arial" w:hAnsi="Arial"/>
          <w:i/>
          <w:iCs/>
          <w:color w:val="00B0F0"/>
          <w:szCs w:val="22"/>
          <w:lang w:eastAsia="it-IT"/>
        </w:rPr>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tbl>
      <w:tblPr>
        <w:tblW w:w="9480" w:type="dxa"/>
        <w:jc w:val="left"/>
        <w:tblInd w:w="70" w:type="dxa"/>
        <w:tblLayout w:type="fixed"/>
        <w:tblCellMar>
          <w:top w:w="0" w:type="dxa"/>
          <w:left w:w="70" w:type="dxa"/>
          <w:bottom w:w="0" w:type="dxa"/>
          <w:right w:w="70" w:type="dxa"/>
        </w:tblCellMar>
      </w:tblPr>
      <w:tblGrid>
        <w:gridCol w:w="3759"/>
        <w:gridCol w:w="420"/>
        <w:gridCol w:w="1595"/>
        <w:gridCol w:w="1244"/>
        <w:gridCol w:w="1149"/>
        <w:gridCol w:w="1312"/>
      </w:tblGrid>
      <w:tr>
        <w:trPr>
          <w:trHeight w:val="292" w:hRule="atLeast"/>
        </w:trPr>
        <w:tc>
          <w:tcPr>
            <w:tcW w:w="3759" w:type="dxa"/>
            <w:tcBorders/>
            <w:vAlign w:val="center"/>
          </w:tcPr>
          <w:p>
            <w:pPr>
              <w:pStyle w:val="Normal"/>
              <w:widowControl w:val="false"/>
              <w:suppressAutoHyphens w:val="false"/>
              <w:spacing w:lineRule="auto" w:line="240" w:before="0" w:after="200"/>
              <w:ind w:left="0" w:right="0" w:hanging="0"/>
              <w:textAlignment w:val="auto"/>
              <w:rPr>
                <w:rFonts w:ascii="Arial" w:hAnsi="Arial" w:cs="Arial"/>
                <w:b/>
                <w:b/>
                <w:bCs/>
                <w:position w:val="0"/>
                <w:sz w:val="14"/>
                <w:sz w:val="14"/>
                <w:szCs w:val="14"/>
                <w:vertAlign w:val="baseline"/>
              </w:rPr>
            </w:pPr>
            <w:r>
              <w:rPr>
                <w:rFonts w:cs="Arial" w:ascii="Arial" w:hAnsi="Arial"/>
                <w:b/>
                <w:bCs/>
                <w:position w:val="0"/>
                <w:sz w:val="14"/>
                <w:sz w:val="14"/>
                <w:szCs w:val="14"/>
                <w:vertAlign w:val="baseline"/>
              </w:rPr>
              <w:t>Equilibri di cassa</w:t>
            </w:r>
          </w:p>
        </w:tc>
        <w:tc>
          <w:tcPr>
            <w:tcW w:w="420" w:type="dxa"/>
            <w:tcBorders/>
            <w:shd w:fill="FFFFFF" w:val="clear"/>
            <w:vAlign w:val="bottom"/>
          </w:tcPr>
          <w:p>
            <w:pPr>
              <w:pStyle w:val="Normal"/>
              <w:widowControl w:val="false"/>
              <w:suppressAutoHyphens w:val="false"/>
              <w:spacing w:lineRule="auto" w:line="240" w:before="0" w:after="200"/>
              <w:ind w:left="0" w:right="0" w:hanging="0"/>
              <w:textAlignment w:val="auto"/>
              <w:rPr>
                <w:rFonts w:ascii="Arial" w:hAnsi="Arial" w:cs="Arial"/>
                <w:position w:val="0"/>
                <w:sz w:val="14"/>
                <w:sz w:val="14"/>
                <w:szCs w:val="14"/>
                <w:vertAlign w:val="baseline"/>
              </w:rPr>
            </w:pPr>
            <w:r>
              <w:rPr>
                <w:rFonts w:cs="Arial" w:ascii="Arial" w:hAnsi="Arial"/>
                <w:position w:val="0"/>
                <w:sz w:val="14"/>
                <w:sz w:val="14"/>
                <w:szCs w:val="14"/>
                <w:vertAlign w:val="baseline"/>
              </w:rPr>
            </w:r>
          </w:p>
        </w:tc>
        <w:tc>
          <w:tcPr>
            <w:tcW w:w="1595" w:type="dxa"/>
            <w:tcBorders/>
            <w:shd w:fill="FFFFFF" w:val="clear"/>
            <w:vAlign w:val="bottom"/>
          </w:tcPr>
          <w:p>
            <w:pPr>
              <w:pStyle w:val="Normal"/>
              <w:widowControl w:val="false"/>
              <w:suppressAutoHyphens w:val="false"/>
              <w:spacing w:lineRule="auto" w:line="240" w:before="0" w:after="200"/>
              <w:ind w:left="0" w:right="0" w:hanging="0"/>
              <w:textAlignment w:val="auto"/>
              <w:rPr>
                <w:rFonts w:ascii="Arial" w:hAnsi="Arial" w:cs="Arial"/>
                <w:position w:val="0"/>
                <w:sz w:val="14"/>
                <w:sz w:val="14"/>
                <w:szCs w:val="14"/>
                <w:vertAlign w:val="baseline"/>
              </w:rPr>
            </w:pPr>
            <w:r>
              <w:rPr>
                <w:rFonts w:cs="Arial" w:ascii="Arial" w:hAnsi="Arial"/>
                <w:position w:val="0"/>
                <w:sz w:val="14"/>
                <w:sz w:val="14"/>
                <w:szCs w:val="14"/>
                <w:vertAlign w:val="baseline"/>
              </w:rPr>
            </w:r>
          </w:p>
        </w:tc>
        <w:tc>
          <w:tcPr>
            <w:tcW w:w="1244" w:type="dxa"/>
            <w:tcBorders/>
            <w:shd w:fill="FFFFFF" w:val="clear"/>
            <w:vAlign w:val="bottom"/>
          </w:tcPr>
          <w:p>
            <w:pPr>
              <w:pStyle w:val="Normal"/>
              <w:widowControl w:val="false"/>
              <w:suppressAutoHyphens w:val="false"/>
              <w:spacing w:lineRule="auto" w:line="240" w:before="0" w:after="200"/>
              <w:ind w:left="0" w:right="0" w:hanging="0"/>
              <w:textAlignment w:val="auto"/>
              <w:rPr>
                <w:rFonts w:ascii="Arial" w:hAnsi="Arial" w:cs="Arial"/>
                <w:position w:val="0"/>
                <w:sz w:val="14"/>
                <w:sz w:val="14"/>
                <w:szCs w:val="14"/>
                <w:vertAlign w:val="baseline"/>
              </w:rPr>
            </w:pPr>
            <w:r>
              <w:rPr>
                <w:rFonts w:cs="Arial" w:ascii="Arial" w:hAnsi="Arial"/>
                <w:position w:val="0"/>
                <w:sz w:val="14"/>
                <w:sz w:val="14"/>
                <w:szCs w:val="14"/>
                <w:vertAlign w:val="baseline"/>
              </w:rPr>
            </w:r>
          </w:p>
        </w:tc>
        <w:tc>
          <w:tcPr>
            <w:tcW w:w="1149" w:type="dxa"/>
            <w:tcBorders/>
            <w:shd w:fill="FFFFFF" w:val="clear"/>
            <w:vAlign w:val="bottom"/>
          </w:tcPr>
          <w:p>
            <w:pPr>
              <w:pStyle w:val="Normal"/>
              <w:widowControl w:val="false"/>
              <w:suppressAutoHyphens w:val="false"/>
              <w:spacing w:lineRule="auto" w:line="240" w:before="0" w:after="200"/>
              <w:ind w:left="0" w:right="0" w:hanging="0"/>
              <w:textAlignment w:val="auto"/>
              <w:rPr>
                <w:rFonts w:ascii="Arial" w:hAnsi="Arial" w:cs="Arial"/>
                <w:position w:val="0"/>
                <w:sz w:val="14"/>
                <w:sz w:val="14"/>
                <w:szCs w:val="14"/>
                <w:vertAlign w:val="baseline"/>
              </w:rPr>
            </w:pPr>
            <w:r>
              <w:rPr>
                <w:rFonts w:cs="Arial" w:ascii="Arial" w:hAnsi="Arial"/>
                <w:position w:val="0"/>
                <w:sz w:val="14"/>
                <w:sz w:val="14"/>
                <w:szCs w:val="14"/>
                <w:vertAlign w:val="baseline"/>
              </w:rPr>
            </w:r>
          </w:p>
        </w:tc>
        <w:tc>
          <w:tcPr>
            <w:tcW w:w="1312" w:type="dxa"/>
            <w:tcBorders/>
            <w:shd w:fill="FFFFFF" w:val="clear"/>
            <w:vAlign w:val="bottom"/>
          </w:tcPr>
          <w:p>
            <w:pPr>
              <w:pStyle w:val="Normal"/>
              <w:widowControl w:val="false"/>
              <w:suppressAutoHyphens w:val="false"/>
              <w:spacing w:lineRule="auto" w:line="240" w:before="0" w:after="200"/>
              <w:ind w:left="0" w:right="0" w:hanging="0"/>
              <w:textAlignment w:val="auto"/>
              <w:rPr>
                <w:rFonts w:ascii="Arial" w:hAnsi="Arial" w:cs="Arial"/>
                <w:b/>
                <w:b/>
                <w:bCs/>
                <w:color w:val="FF0000"/>
                <w:position w:val="0"/>
                <w:sz w:val="14"/>
                <w:sz w:val="14"/>
                <w:szCs w:val="14"/>
                <w:vertAlign w:val="baseline"/>
              </w:rPr>
            </w:pPr>
            <w:r>
              <w:rPr>
                <w:rFonts w:cs="Arial" w:ascii="Arial" w:hAnsi="Arial"/>
                <w:b/>
                <w:bCs/>
                <w:color w:val="FF0000"/>
                <w:position w:val="0"/>
                <w:sz w:val="14"/>
                <w:sz w:val="14"/>
                <w:szCs w:val="14"/>
                <w:vertAlign w:val="baseline"/>
              </w:rPr>
            </w:r>
          </w:p>
        </w:tc>
      </w:tr>
      <w:tr>
        <w:trPr>
          <w:trHeight w:val="292" w:hRule="atLeast"/>
        </w:trPr>
        <w:tc>
          <w:tcPr>
            <w:tcW w:w="9479" w:type="dxa"/>
            <w:gridSpan w:val="6"/>
            <w:tcBorders>
              <w:top w:val="single" w:sz="4" w:space="0" w:color="000000"/>
              <w:left w:val="single" w:sz="4" w:space="0" w:color="000000"/>
              <w:bottom w:val="single" w:sz="4" w:space="0" w:color="000000"/>
              <w:right w:val="single" w:sz="4" w:space="0" w:color="000000"/>
            </w:tcBorders>
            <w:shd w:fill="9BC2E6" w:val="clear"/>
            <w:vAlign w:val="center"/>
          </w:tcPr>
          <w:p>
            <w:pPr>
              <w:pStyle w:val="Normal"/>
              <w:widowControl w:val="false"/>
              <w:suppressAutoHyphens w:val="false"/>
              <w:spacing w:lineRule="auto" w:line="240" w:before="0" w:after="200"/>
              <w:ind w:left="0" w:right="0" w:hanging="0"/>
              <w:jc w:val="center"/>
              <w:textAlignment w:val="auto"/>
              <w:rPr/>
            </w:pPr>
            <w:r>
              <w:rPr>
                <w:rFonts w:cs="Arial" w:ascii="Arial" w:hAnsi="Arial"/>
                <w:b/>
                <w:bCs/>
                <w:position w:val="0"/>
                <w:sz w:val="14"/>
                <w:sz w:val="14"/>
                <w:szCs w:val="14"/>
                <w:vertAlign w:val="baseline"/>
              </w:rPr>
              <w:t>Riscossioni e pagamenti al 31.12.2024</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b/>
                <w:b/>
                <w:bCs/>
                <w:color w:val="000000"/>
                <w:position w:val="0"/>
                <w:sz w:val="14"/>
                <w:sz w:val="14"/>
                <w:szCs w:val="14"/>
                <w:vertAlign w:val="baseline"/>
              </w:rPr>
            </w:pPr>
            <w:r>
              <w:rPr>
                <w:rFonts w:cs="Arial" w:ascii="Arial" w:hAnsi="Arial"/>
                <w:b/>
                <w:bCs/>
                <w:color w:val="000000"/>
                <w:position w:val="0"/>
                <w:sz w:val="14"/>
                <w:sz w:val="14"/>
                <w:szCs w:val="14"/>
                <w:vertAlign w:val="baseline"/>
              </w:rPr>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center"/>
              <w:textAlignment w:val="auto"/>
              <w:rPr/>
            </w:pPr>
            <w:r>
              <w:rPr>
                <w:rFonts w:cs="Arial" w:ascii="Arial" w:hAnsi="Arial"/>
                <w:b/>
                <w:bCs/>
                <w:color w:val="000000" w:themeColor="text1" w:themeTint="bf"/>
                <w:position w:val="0"/>
                <w:sz w:val="14"/>
                <w:sz w:val="14"/>
                <w:szCs w:val="14"/>
                <w:vertAlign w:val="baseline"/>
              </w:rPr>
              <w:t>Previsioni definitive**</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Competenza</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Residui</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Totale</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 xml:space="preserve">Fondo di cassa iniziale </w:t>
            </w:r>
            <w:r>
              <w:rPr>
                <w:rFonts w:cs="Arial" w:ascii="Arial" w:hAnsi="Arial"/>
                <w:b/>
                <w:bCs/>
                <w:color w:val="000000" w:themeColor="text1" w:themeTint="bf"/>
                <w:position w:val="0"/>
                <w:sz w:val="14"/>
                <w:sz w:val="14"/>
                <w:szCs w:val="14"/>
                <w:vertAlign w:val="baseline"/>
              </w:rPr>
              <w:t>(A)</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position w:val="0"/>
                <w:sz w:val="14"/>
                <w:sz w:val="14"/>
                <w:szCs w:val="14"/>
                <w:vertAlign w:val="baseline"/>
              </w:rPr>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color w:val="auto"/>
              </w:rPr>
            </w:pPr>
            <w:r>
              <w:rPr>
                <w:rFonts w:eastAsia="ArialMT;MS Gothic" w:cs="ArialMT;MS Gothic" w:ascii="ArialMT" w:hAnsi="ArialMT"/>
                <w:b w:val="false"/>
                <w:bCs w:val="false"/>
                <w:color w:val="auto" w:themeTint="bf"/>
                <w:position w:val="0"/>
                <w:sz w:val="14"/>
                <w:sz w:val="14"/>
                <w:szCs w:val="14"/>
                <w:vertAlign w:val="baseline"/>
              </w:rPr>
              <w:t>5.040.984,55</w:t>
            </w:r>
          </w:p>
        </w:tc>
        <w:tc>
          <w:tcPr>
            <w:tcW w:w="1244" w:type="dxa"/>
            <w:tcBorders>
              <w:bottom w:val="single" w:sz="4" w:space="0" w:color="000000"/>
              <w:right w:val="single" w:sz="4" w:space="0" w:color="000000"/>
            </w:tcBorders>
            <w:shd w:fill="BFBFBF" w:val="clear"/>
            <w:vAlign w:val="center"/>
          </w:tcPr>
          <w:p>
            <w:pPr>
              <w:pStyle w:val="Normal"/>
              <w:widowControl w:val="false"/>
              <w:suppressAutoHyphens w:val="false"/>
              <w:spacing w:lineRule="auto" w:line="240" w:before="0" w:after="200"/>
              <w:ind w:left="0" w:right="0" w:hanging="0"/>
              <w:jc w:val="right"/>
              <w:textAlignment w:val="auto"/>
              <w:rPr>
                <w:color w:val="auto"/>
                <w:sz w:val="14"/>
                <w:szCs w:val="14"/>
              </w:rPr>
            </w:pPr>
            <w:r>
              <w:rPr>
                <w:rFonts w:eastAsia="ArialMT;MS Gothic" w:cs="ArialMT;MS Gothic" w:ascii="ArialMT" w:hAnsi="ArialMT"/>
                <w:b w:val="false"/>
                <w:bCs w:val="false"/>
                <w:color w:val="auto" w:themeTint="bf"/>
                <w:sz w:val="14"/>
                <w:szCs w:val="14"/>
              </w:rPr>
              <w:t>5.040.984,55</w:t>
            </w:r>
          </w:p>
        </w:tc>
        <w:tc>
          <w:tcPr>
            <w:tcW w:w="1149" w:type="dxa"/>
            <w:tcBorders>
              <w:bottom w:val="single" w:sz="4" w:space="0" w:color="000000"/>
              <w:right w:val="single" w:sz="4" w:space="0" w:color="000000"/>
            </w:tcBorders>
            <w:shd w:fill="BFBFBF" w:val="clear"/>
            <w:vAlign w:val="center"/>
          </w:tcPr>
          <w:p>
            <w:pPr>
              <w:pStyle w:val="Normal"/>
              <w:widowControl w:val="false"/>
              <w:suppressAutoHyphens w:val="false"/>
              <w:spacing w:lineRule="auto" w:line="240" w:before="0" w:after="200"/>
              <w:ind w:left="0" w:right="0" w:hanging="0"/>
              <w:jc w:val="right"/>
              <w:textAlignment w:val="auto"/>
              <w:rPr>
                <w:color w:val="auto"/>
              </w:rPr>
            </w:pPr>
            <w:r>
              <w:rPr>
                <w:color w:val="auto"/>
              </w:rPr>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color w:val="auto"/>
              </w:rPr>
            </w:pPr>
            <w:r>
              <w:rPr>
                <w:rFonts w:eastAsia="ArialMT;MS Gothic" w:cs="ArialMT;MS Gothic" w:ascii="ArialMT" w:hAnsi="ArialMT"/>
                <w:b w:val="false"/>
                <w:bCs w:val="false"/>
                <w:color w:val="000000" w:themeColor="text1" w:themeTint="bf"/>
                <w:position w:val="0"/>
                <w:sz w:val="14"/>
                <w:sz w:val="14"/>
                <w:szCs w:val="14"/>
                <w:shd w:fill="auto" w:val="clear"/>
                <w:vertAlign w:val="baseline"/>
              </w:rPr>
              <w:t>5.040.984,55</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Entrate Titolo 1.00</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sz w:val="14"/>
                <w:szCs w:val="14"/>
              </w:rPr>
            </w:pPr>
            <w:r>
              <w:rPr>
                <w:rFonts w:eastAsia="ArialMT;MS Gothic" w:cs="ArialMT;MS Gothic" w:ascii="ArialMT" w:hAnsi="ArialMT"/>
                <w:color w:val="000000" w:themeColor="text1" w:themeTint="bf"/>
                <w:position w:val="0"/>
                <w:sz w:val="14"/>
                <w:sz w:val="14"/>
                <w:szCs w:val="14"/>
                <w:vertAlign w:val="baseline"/>
              </w:rPr>
              <w:t>17.169.388,00</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sz w:val="14"/>
                <w:szCs w:val="14"/>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12.124.470,00</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sz w:val="14"/>
                <w:szCs w:val="14"/>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5.358.902,17</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sz w:val="14"/>
                <w:szCs w:val="14"/>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17.483.372,17</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eastAsia="Arial" w:cs="Arial" w:ascii="Arial" w:hAnsi="Arial"/>
                <w:color w:val="000000" w:themeColor="text1" w:themeTint="bf"/>
                <w:position w:val="0"/>
                <w:sz w:val="14"/>
                <w:sz w:val="14"/>
                <w:szCs w:val="14"/>
                <w:vertAlign w:val="baseline"/>
              </w:rPr>
              <w:t xml:space="preserve">  </w:t>
            </w:r>
            <w:r>
              <w:rPr>
                <w:rFonts w:cs="Arial" w:ascii="Arial" w:hAnsi="Arial"/>
                <w:i/>
                <w:iCs/>
                <w:color w:val="000000" w:themeColor="text1" w:themeTint="bf"/>
                <w:position w:val="0"/>
                <w:sz w:val="14"/>
                <w:sz w:val="14"/>
                <w:szCs w:val="14"/>
                <w:vertAlign w:val="baseline"/>
              </w:rPr>
              <w:t>di cui per estinzione anticipata di prestiti (*)</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position w:val="0"/>
                <w:sz w:val="14"/>
                <w:sz w:val="14"/>
                <w:szCs w:val="14"/>
                <w:vertAlign w:val="baseline"/>
              </w:rPr>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themeColor="text1" w:themeTint="bf"/>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0</w:t>
            </w:r>
          </w:p>
        </w:tc>
        <w:tc>
          <w:tcPr>
            <w:tcW w:w="1244"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Entrate Titolo 2.00</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MT" w:hAnsi="ArialMT" w:eastAsia="ArialMT;MS Gothic" w:cs="ArialMT;MS Gothic"/>
                <w:color w:val="000000" w:themeColor="text1" w:themeTint="bf"/>
                <w:position w:val="0"/>
                <w:sz w:val="14"/>
                <w:sz w:val="14"/>
                <w:szCs w:val="14"/>
                <w:vertAlign w:val="baseline"/>
              </w:rPr>
            </w:pPr>
            <w:r>
              <w:rPr>
                <w:rFonts w:eastAsia="ArialMT;MS Gothic" w:cs="ArialMT;MS Gothic" w:ascii="ArialMT" w:hAnsi="ArialMT"/>
                <w:color w:val="000000" w:themeColor="text1" w:themeTint="bf"/>
                <w:position w:val="0"/>
                <w:sz w:val="14"/>
                <w:sz w:val="14"/>
                <w:szCs w:val="14"/>
                <w:vertAlign w:val="baseline"/>
              </w:rPr>
              <w:t>2.427.944,08</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1.405.857,60</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cs="Arial" w:ascii="ArialMT" w:hAnsi="ArialMT"/>
                <w:color w:val="000000" w:themeColor="text1" w:themeTint="bf"/>
                <w:position w:val="0"/>
                <w:sz w:val="14"/>
                <w:sz w:val="14"/>
                <w:szCs w:val="14"/>
                <w:shd w:fill="auto" w:val="clear"/>
                <w:vertAlign w:val="baseline"/>
              </w:rPr>
              <w:t>650.869,22</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2.056.726,82</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eastAsia="Arial" w:cs="Arial" w:ascii="Arial" w:hAnsi="Arial"/>
                <w:color w:val="000000" w:themeColor="text1" w:themeTint="bf"/>
                <w:position w:val="0"/>
                <w:sz w:val="14"/>
                <w:sz w:val="14"/>
                <w:szCs w:val="14"/>
                <w:vertAlign w:val="baseline"/>
              </w:rPr>
              <w:t xml:space="preserve">  </w:t>
            </w:r>
            <w:r>
              <w:rPr>
                <w:rFonts w:cs="Arial" w:ascii="Arial" w:hAnsi="Arial"/>
                <w:i/>
                <w:iCs/>
                <w:color w:val="000000" w:themeColor="text1" w:themeTint="bf"/>
                <w:position w:val="0"/>
                <w:sz w:val="14"/>
                <w:sz w:val="14"/>
                <w:szCs w:val="14"/>
                <w:vertAlign w:val="baseline"/>
              </w:rPr>
              <w:t>di cui per estinzione anticipata di prestiti (*)</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position w:val="0"/>
                <w:sz w:val="14"/>
                <w:sz w:val="14"/>
                <w:szCs w:val="14"/>
                <w:vertAlign w:val="baseline"/>
              </w:rPr>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themeColor="text1" w:themeTint="bf"/>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0</w:t>
            </w:r>
          </w:p>
        </w:tc>
        <w:tc>
          <w:tcPr>
            <w:tcW w:w="1244"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Entrate Titolo 3.00</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MT" w:hAnsi="ArialMT" w:eastAsia="ArialMT;MS Gothic" w:cs="ArialMT;MS Gothic"/>
                <w:color w:val="000000" w:themeColor="text1" w:themeTint="bf"/>
                <w:position w:val="0"/>
                <w:sz w:val="14"/>
                <w:sz w:val="14"/>
                <w:szCs w:val="14"/>
                <w:vertAlign w:val="baseline"/>
              </w:rPr>
            </w:pPr>
            <w:r>
              <w:rPr>
                <w:rFonts w:eastAsia="ArialMT;MS Gothic" w:cs="ArialMT;MS Gothic" w:ascii="ArialMT" w:hAnsi="ArialMT"/>
                <w:color w:val="000000" w:themeColor="text1" w:themeTint="bf"/>
                <w:position w:val="0"/>
                <w:sz w:val="14"/>
                <w:sz w:val="14"/>
                <w:szCs w:val="14"/>
                <w:vertAlign w:val="baseline"/>
              </w:rPr>
              <w:t>11.270.536,85</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4.399.678,41</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2.695.798,34</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7.095.476,75</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eastAsia="Arial" w:cs="Arial" w:ascii="Arial" w:hAnsi="Arial"/>
                <w:color w:val="000000" w:themeColor="text1" w:themeTint="bf"/>
                <w:position w:val="0"/>
                <w:sz w:val="14"/>
                <w:sz w:val="14"/>
                <w:szCs w:val="14"/>
                <w:vertAlign w:val="baseline"/>
              </w:rPr>
              <w:t xml:space="preserve">  </w:t>
            </w:r>
            <w:r>
              <w:rPr>
                <w:rFonts w:cs="Arial" w:ascii="Arial" w:hAnsi="Arial"/>
                <w:i/>
                <w:iCs/>
                <w:color w:val="000000" w:themeColor="text1" w:themeTint="bf"/>
                <w:position w:val="0"/>
                <w:sz w:val="14"/>
                <w:sz w:val="14"/>
                <w:szCs w:val="14"/>
                <w:vertAlign w:val="baseline"/>
              </w:rPr>
              <w:t>di cui per estinzione anticipata di prestiti (*)</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position w:val="0"/>
                <w:sz w:val="14"/>
                <w:sz w:val="14"/>
                <w:szCs w:val="14"/>
                <w:vertAlign w:val="baseline"/>
              </w:rPr>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themeColor="text1" w:themeTint="bf"/>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0</w:t>
            </w:r>
          </w:p>
        </w:tc>
        <w:tc>
          <w:tcPr>
            <w:tcW w:w="1244"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r>
      <w:tr>
        <w:trPr>
          <w:trHeight w:val="515"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 xml:space="preserve">Entrate Titolo 4.02.06 - </w:t>
            </w:r>
            <w:r>
              <w:rPr>
                <w:rFonts w:cs="Arial" w:ascii="Arial" w:hAnsi="Arial"/>
                <w:i/>
                <w:iCs/>
                <w:color w:val="000000" w:themeColor="text1" w:themeTint="bf"/>
                <w:position w:val="0"/>
                <w:sz w:val="14"/>
                <w:sz w:val="14"/>
                <w:szCs w:val="14"/>
                <w:vertAlign w:val="baseline"/>
              </w:rPr>
              <w:t xml:space="preserve">Contributi agli investimenti direttamente destinati al rimborso dei prestiti da aa.pp. </w:t>
            </w:r>
            <w:r>
              <w:rPr>
                <w:rFonts w:cs="Arial" w:ascii="Arial" w:hAnsi="Arial"/>
                <w:b/>
                <w:bCs/>
                <w:i/>
                <w:iCs/>
                <w:color w:val="000000" w:themeColor="text1" w:themeTint="bf"/>
                <w:position w:val="0"/>
                <w:sz w:val="14"/>
                <w:sz w:val="14"/>
                <w:szCs w:val="14"/>
                <w:vertAlign w:val="baseline"/>
              </w:rPr>
              <w:t>(B1)</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themeColor="text1" w:themeTint="bf"/>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0</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b/>
                <w:bCs/>
                <w:color w:val="000000" w:themeColor="text1" w:themeTint="bf"/>
                <w:position w:val="0"/>
                <w:sz w:val="14"/>
                <w:sz w:val="14"/>
                <w:szCs w:val="14"/>
                <w:vertAlign w:val="baseline"/>
              </w:rPr>
              <w:t>Totale Entrate B (B=Titoli  1.00, 2.00, 3.00, 4.02.06)</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pPr>
            <w:r>
              <w:rPr>
                <w:rFonts w:cs="Arial" w:ascii="Arial" w:hAnsi="Arial"/>
                <w:b/>
                <w:bCs/>
                <w:color w:val="000000" w:themeColor="text1" w:themeTint="bf"/>
                <w:position w:val="0"/>
                <w:sz w:val="14"/>
                <w:sz w:val="14"/>
                <w:szCs w:val="14"/>
                <w:vertAlign w:val="baseline"/>
              </w:rPr>
              <w:t>30.867.868,93</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b/>
                <w:bCs/>
                <w:color w:val="000000" w:themeColor="text1" w:themeTint="bf"/>
                <w:position w:val="0"/>
                <w:sz w:val="14"/>
                <w:sz w:val="14"/>
                <w:szCs w:val="14"/>
                <w:shd w:fill="auto" w:val="clear"/>
                <w:vertAlign w:val="baseline"/>
              </w:rPr>
              <w:t>17.930.006,01</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b/>
                <w:bCs/>
                <w:color w:val="000000" w:themeColor="text1" w:themeTint="bf"/>
                <w:position w:val="0"/>
                <w:sz w:val="14"/>
                <w:sz w:val="14"/>
                <w:szCs w:val="14"/>
                <w:shd w:fill="auto" w:val="clear"/>
                <w:vertAlign w:val="baseline"/>
              </w:rPr>
              <w:t>8.705.569,73</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b/>
                <w:bCs/>
                <w:color w:val="000000" w:themeColor="text1" w:themeTint="bf"/>
                <w:position w:val="0"/>
                <w:sz w:val="14"/>
                <w:sz w:val="14"/>
                <w:szCs w:val="14"/>
                <w:shd w:fill="auto" w:val="clear"/>
                <w:vertAlign w:val="baseline"/>
              </w:rPr>
              <w:t>26.635.575,74</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eastAsia="Arial" w:cs="Arial" w:ascii="Arial" w:hAnsi="Arial"/>
                <w:color w:val="000000" w:themeColor="text1" w:themeTint="bf"/>
                <w:position w:val="0"/>
                <w:sz w:val="14"/>
                <w:sz w:val="14"/>
                <w:szCs w:val="14"/>
                <w:vertAlign w:val="baseline"/>
              </w:rPr>
              <w:t xml:space="preserve">  </w:t>
            </w:r>
            <w:r>
              <w:rPr>
                <w:rFonts w:cs="Arial" w:ascii="Arial" w:hAnsi="Arial"/>
                <w:i/>
                <w:iCs/>
                <w:color w:val="000000" w:themeColor="text1" w:themeTint="bf"/>
                <w:position w:val="0"/>
                <w:sz w:val="14"/>
                <w:sz w:val="14"/>
                <w:szCs w:val="14"/>
                <w:vertAlign w:val="baseline"/>
              </w:rPr>
              <w:t>di cui per estinzione anticipata di prestiti (somma *)</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position w:val="0"/>
                <w:sz w:val="14"/>
                <w:sz w:val="14"/>
                <w:szCs w:val="14"/>
                <w:vertAlign w:val="baseline"/>
              </w:rPr>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themeColor="text1" w:themeTint="bf"/>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0</w:t>
            </w:r>
          </w:p>
        </w:tc>
        <w:tc>
          <w:tcPr>
            <w:tcW w:w="1244"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rFonts w:ascii="Arial" w:hAnsi="Arial" w:cs="Arial"/>
                <w:color w:val="000000" w:themeColor="text1" w:themeTint="bf"/>
                <w:position w:val="0"/>
                <w:sz w:val="14"/>
                <w:sz w:val="14"/>
                <w:szCs w:val="14"/>
                <w:vertAlign w:val="baseline"/>
              </w:rPr>
            </w:pPr>
            <w:r>
              <w:rPr>
                <w:rFonts w:cs="Arial" w:ascii="Arial" w:hAnsi="Arial"/>
                <w:color w:val="000000" w:themeColor="text1" w:themeTint="bf"/>
                <w:position w:val="0"/>
                <w:sz w:val="14"/>
                <w:sz w:val="14"/>
                <w:szCs w:val="14"/>
                <w:vertAlign w:val="baseline"/>
              </w:rPr>
              <w:t xml:space="preserve">Spese Titolo 1.00 - </w:t>
            </w:r>
            <w:r>
              <w:rPr>
                <w:rFonts w:cs="Arial" w:ascii="Arial" w:hAnsi="Arial"/>
                <w:i/>
                <w:iCs/>
                <w:color w:val="000000" w:themeColor="text1" w:themeTint="bf"/>
                <w:position w:val="0"/>
                <w:sz w:val="14"/>
                <w:sz w:val="14"/>
                <w:szCs w:val="14"/>
                <w:vertAlign w:val="baseline"/>
              </w:rPr>
              <w:t>Spese correnti</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MT" w:hAnsi="ArialMT" w:eastAsia="ArialMT;MS Gothic" w:cs="ArialMT;MS Gothic"/>
                <w:color w:val="000000" w:themeColor="text1" w:themeTint="bf"/>
                <w:position w:val="0"/>
                <w:sz w:val="14"/>
                <w:sz w:val="14"/>
                <w:szCs w:val="14"/>
                <w:vertAlign w:val="baseline"/>
              </w:rPr>
            </w:pPr>
            <w:r>
              <w:rPr>
                <w:rFonts w:eastAsia="ArialMT;MS Gothic" w:cs="ArialMT;MS Gothic" w:ascii="ArialMT" w:hAnsi="ArialMT"/>
                <w:color w:val="000000" w:themeColor="text1" w:themeTint="bf"/>
                <w:position w:val="0"/>
                <w:sz w:val="14"/>
                <w:sz w:val="14"/>
                <w:szCs w:val="14"/>
                <w:vertAlign w:val="baseline"/>
              </w:rPr>
              <w:t>26.579.768,42</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17.437.887,41</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3.818.911,28</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21.256.798,69</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 xml:space="preserve">Spese Titolo 2.04 - </w:t>
            </w:r>
            <w:r>
              <w:rPr>
                <w:rFonts w:cs="Arial" w:ascii="Arial" w:hAnsi="Arial"/>
                <w:i/>
                <w:iCs/>
                <w:color w:val="000000" w:themeColor="text1" w:themeTint="bf"/>
                <w:position w:val="0"/>
                <w:sz w:val="14"/>
                <w:sz w:val="14"/>
                <w:szCs w:val="14"/>
                <w:vertAlign w:val="baseline"/>
              </w:rPr>
              <w:t>Altri trasferimenti in conto capitale</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themeColor="text1" w:themeTint="bf"/>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0</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r>
      <w:tr>
        <w:trPr>
          <w:trHeight w:val="343"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 xml:space="preserve">Spese Titolo 4.00 - </w:t>
            </w:r>
            <w:r>
              <w:rPr>
                <w:rFonts w:cs="Arial" w:ascii="Arial" w:hAnsi="Arial"/>
                <w:i/>
                <w:iCs/>
                <w:color w:val="000000" w:themeColor="text1" w:themeTint="bf"/>
                <w:position w:val="0"/>
                <w:sz w:val="14"/>
                <w:sz w:val="14"/>
                <w:szCs w:val="14"/>
                <w:vertAlign w:val="baseline"/>
              </w:rPr>
              <w:t>Quote di capitale amm.to dei mutui e prestiti obbligazionari</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MT" w:hAnsi="ArialMT" w:eastAsia="ArialMT;MS Gothic" w:cs="ArialMT;MS Gothic"/>
                <w:color w:val="000000" w:themeColor="text1" w:themeTint="bf"/>
                <w:position w:val="0"/>
                <w:sz w:val="14"/>
                <w:sz w:val="14"/>
                <w:szCs w:val="14"/>
                <w:vertAlign w:val="baseline"/>
              </w:rPr>
            </w:pPr>
            <w:r>
              <w:rPr>
                <w:rFonts w:eastAsia="ArialMT;MS Gothic" w:cs="ArialMT;MS Gothic" w:ascii="ArialMT" w:hAnsi="ArialMT"/>
                <w:color w:val="000000" w:themeColor="text1" w:themeTint="bf"/>
                <w:position w:val="0"/>
                <w:sz w:val="14"/>
                <w:sz w:val="14"/>
                <w:szCs w:val="14"/>
                <w:vertAlign w:val="baseline"/>
              </w:rPr>
              <w:t>506.662,87</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506.662,87</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506.662,87</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eastAsia="Arial" w:cs="Arial" w:ascii="Arial" w:hAnsi="Arial"/>
                <w:i/>
                <w:iCs/>
                <w:color w:val="000000" w:themeColor="text1" w:themeTint="bf"/>
                <w:position w:val="0"/>
                <w:sz w:val="14"/>
                <w:sz w:val="14"/>
                <w:szCs w:val="14"/>
                <w:vertAlign w:val="baseline"/>
              </w:rPr>
              <w:t xml:space="preserve">  </w:t>
            </w:r>
            <w:r>
              <w:rPr>
                <w:rFonts w:cs="Arial" w:ascii="Arial" w:hAnsi="Arial"/>
                <w:i/>
                <w:iCs/>
                <w:color w:val="000000" w:themeColor="text1" w:themeTint="bf"/>
                <w:position w:val="0"/>
                <w:sz w:val="14"/>
                <w:sz w:val="14"/>
                <w:szCs w:val="14"/>
                <w:vertAlign w:val="baseline"/>
              </w:rPr>
              <w:t>di cui</w:t>
            </w:r>
            <w:r>
              <w:rPr>
                <w:rFonts w:cs="Arial" w:ascii="Arial" w:hAnsi="Arial"/>
                <w:color w:val="000000" w:themeColor="text1" w:themeTint="bf"/>
                <w:position w:val="0"/>
                <w:sz w:val="14"/>
                <w:sz w:val="14"/>
                <w:szCs w:val="14"/>
                <w:vertAlign w:val="baseline"/>
              </w:rPr>
              <w:t xml:space="preserve"> </w:t>
            </w:r>
            <w:r>
              <w:rPr>
                <w:rFonts w:cs="Arial" w:ascii="Arial" w:hAnsi="Arial"/>
                <w:i/>
                <w:iCs/>
                <w:color w:val="000000" w:themeColor="text1" w:themeTint="bf"/>
                <w:position w:val="0"/>
                <w:sz w:val="14"/>
                <w:sz w:val="14"/>
                <w:szCs w:val="14"/>
                <w:vertAlign w:val="baseline"/>
              </w:rPr>
              <w:t>per estinzione anticipata di prestiti</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i/>
                <w:i/>
                <w:iCs/>
                <w:color w:val="000000"/>
                <w:position w:val="0"/>
                <w:sz w:val="14"/>
                <w:sz w:val="14"/>
                <w:szCs w:val="14"/>
                <w:vertAlign w:val="baseline"/>
              </w:rPr>
            </w:pPr>
            <w:r>
              <w:rPr>
                <w:rFonts w:cs="Arial" w:ascii="Arial" w:hAnsi="Arial"/>
                <w:i/>
                <w:iCs/>
                <w:color w:val="000000"/>
                <w:position w:val="0"/>
                <w:sz w:val="14"/>
                <w:sz w:val="14"/>
                <w:szCs w:val="14"/>
                <w:vertAlign w:val="baseline"/>
              </w:rPr>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0</w:t>
            </w:r>
          </w:p>
        </w:tc>
        <w:tc>
          <w:tcPr>
            <w:tcW w:w="1244"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r>
      <w:tr>
        <w:trPr>
          <w:trHeight w:val="343"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both"/>
              <w:textAlignment w:val="auto"/>
              <w:rPr/>
            </w:pPr>
            <w:r>
              <w:rPr>
                <w:rFonts w:eastAsia="Arial" w:cs="Arial" w:ascii="Arial" w:hAnsi="Arial"/>
                <w:i/>
                <w:iCs/>
                <w:color w:val="000000" w:themeColor="text1" w:themeTint="bf"/>
                <w:position w:val="0"/>
                <w:sz w:val="14"/>
                <w:sz w:val="14"/>
                <w:szCs w:val="14"/>
                <w:vertAlign w:val="baseline"/>
              </w:rPr>
              <w:t xml:space="preserve"> </w:t>
            </w:r>
            <w:r>
              <w:rPr>
                <w:rFonts w:cs="Arial" w:ascii="Arial" w:hAnsi="Arial"/>
                <w:i/>
                <w:iCs/>
                <w:color w:val="000000" w:themeColor="text1" w:themeTint="bf"/>
                <w:position w:val="0"/>
                <w:sz w:val="14"/>
                <w:sz w:val="14"/>
                <w:szCs w:val="14"/>
                <w:vertAlign w:val="baseline"/>
              </w:rPr>
              <w:t>di cui rimborso anticipazioni di liquidità (d.l. n. 35/2013 e ss. mm. e rifinanziamenti</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i/>
                <w:i/>
                <w:iCs/>
                <w:color w:val="000000"/>
                <w:position w:val="0"/>
                <w:sz w:val="14"/>
                <w:sz w:val="14"/>
                <w:szCs w:val="14"/>
                <w:vertAlign w:val="baseline"/>
              </w:rPr>
            </w:pPr>
            <w:r>
              <w:rPr>
                <w:rFonts w:cs="Arial" w:ascii="Arial" w:hAnsi="Arial"/>
                <w:i/>
                <w:iCs/>
                <w:color w:val="000000"/>
                <w:position w:val="0"/>
                <w:sz w:val="14"/>
                <w:sz w:val="14"/>
                <w:szCs w:val="14"/>
                <w:vertAlign w:val="baseline"/>
              </w:rPr>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0</w:t>
            </w:r>
          </w:p>
        </w:tc>
        <w:tc>
          <w:tcPr>
            <w:tcW w:w="1244"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shd w:fill="B6DDE8"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b/>
                <w:bCs/>
                <w:color w:val="000000" w:themeColor="text1" w:themeTint="bf"/>
                <w:position w:val="0"/>
                <w:sz w:val="14"/>
                <w:sz w:val="14"/>
                <w:szCs w:val="14"/>
                <w:vertAlign w:val="baseline"/>
              </w:rPr>
              <w:t>Totale Spese C (C=Titoli 1.00, 2.04, 4.00)</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pPr>
            <w:r>
              <w:rPr>
                <w:rFonts w:eastAsia="Arial" w:cs="Arial" w:ascii="Arial" w:hAnsi="Arial"/>
                <w:b/>
                <w:bCs/>
                <w:color w:val="000000" w:themeColor="text1" w:themeTint="bf"/>
                <w:position w:val="0"/>
                <w:sz w:val="14"/>
                <w:sz w:val="14"/>
                <w:szCs w:val="14"/>
                <w:vertAlign w:val="baseline"/>
              </w:rPr>
              <w:t>27.086.431,29</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b/>
                <w:bCs/>
                <w:color w:val="000000" w:themeColor="text1" w:themeTint="bf"/>
                <w:position w:val="0"/>
                <w:sz w:val="14"/>
                <w:sz w:val="14"/>
                <w:szCs w:val="14"/>
                <w:shd w:fill="auto" w:val="clear"/>
                <w:vertAlign w:val="baseline"/>
              </w:rPr>
              <w:t>17.944.550,28</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b/>
                <w:bCs/>
                <w:color w:val="000000" w:themeColor="text1" w:themeTint="bf"/>
                <w:position w:val="0"/>
                <w:sz w:val="14"/>
                <w:sz w:val="14"/>
                <w:szCs w:val="14"/>
                <w:shd w:fill="auto" w:val="clear"/>
                <w:vertAlign w:val="baseline"/>
              </w:rPr>
              <w:t>3.818.911,28</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b/>
                <w:bCs/>
                <w:color w:val="000000" w:themeColor="text1" w:themeTint="bf"/>
                <w:position w:val="0"/>
                <w:sz w:val="14"/>
                <w:sz w:val="14"/>
                <w:szCs w:val="14"/>
                <w:shd w:fill="auto" w:val="clear"/>
                <w:vertAlign w:val="baseline"/>
              </w:rPr>
              <w:t>21.763.461,56</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Differenza D (D=B-C)</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b/>
                <w:b/>
                <w:bCs/>
                <w:color w:val="000000" w:themeColor="text1" w:themeTint="bf"/>
                <w:position w:val="0"/>
                <w:sz w:val="14"/>
                <w:sz w:val="14"/>
                <w:szCs w:val="14"/>
                <w:vertAlign w:val="baseline"/>
              </w:rPr>
            </w:pPr>
            <w:r>
              <w:rPr>
                <w:rFonts w:eastAsia="Arial" w:cs="Arial" w:ascii="Arial" w:hAnsi="Arial"/>
                <w:b/>
                <w:bCs/>
                <w:color w:val="000000" w:themeColor="text1" w:themeTint="bf"/>
                <w:position w:val="0"/>
                <w:sz w:val="14"/>
                <w:sz w:val="14"/>
                <w:szCs w:val="14"/>
                <w:vertAlign w:val="baseline"/>
              </w:rPr>
              <w:t>3.781.437,64</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cs="Arial" w:ascii="Arial" w:hAnsi="Arial"/>
                <w:b/>
                <w:bCs/>
                <w:color w:val="000000" w:themeColor="text1" w:themeTint="bf"/>
                <w:position w:val="0"/>
                <w:sz w:val="14"/>
                <w:sz w:val="14"/>
                <w:szCs w:val="14"/>
                <w:shd w:fill="auto" w:val="clear"/>
                <w:vertAlign w:val="baseline"/>
              </w:rPr>
              <w:t>-14.544,27</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b/>
                <w:bCs/>
                <w:color w:val="000000" w:themeColor="text1" w:themeTint="bf"/>
                <w:position w:val="0"/>
                <w:sz w:val="14"/>
                <w:sz w:val="14"/>
                <w:szCs w:val="14"/>
                <w:shd w:fill="auto" w:val="clear"/>
                <w:vertAlign w:val="baseline"/>
              </w:rPr>
              <w:t>4.886.658,45</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b/>
                <w:bCs/>
                <w:color w:val="000000" w:themeColor="text1" w:themeTint="bf"/>
                <w:position w:val="0"/>
                <w:sz w:val="14"/>
                <w:sz w:val="14"/>
                <w:szCs w:val="14"/>
                <w:shd w:fill="auto" w:val="clear"/>
                <w:vertAlign w:val="baseline"/>
              </w:rPr>
              <w:t>4.872.114,18</w:t>
            </w:r>
          </w:p>
        </w:tc>
      </w:tr>
      <w:tr>
        <w:trPr>
          <w:trHeight w:val="53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both"/>
              <w:textAlignment w:val="auto"/>
              <w:rPr/>
            </w:pPr>
            <w:r>
              <w:rPr>
                <w:rFonts w:cs="Arial" w:ascii="Arial" w:hAnsi="Arial"/>
                <w:color w:val="000000" w:themeColor="text1" w:themeTint="bf"/>
                <w:position w:val="0"/>
                <w:sz w:val="14"/>
                <w:sz w:val="14"/>
                <w:szCs w:val="14"/>
                <w:vertAlign w:val="baseline"/>
              </w:rPr>
              <w:t xml:space="preserve">Altre poste differenziali, per eccezioni </w:t>
            </w:r>
            <w:r>
              <w:rPr>
                <w:rFonts w:cs="Arial" w:ascii="Arial" w:hAnsi="Arial"/>
                <w:b/>
                <w:bCs/>
                <w:color w:val="000000" w:themeColor="text1" w:themeTint="bf"/>
                <w:position w:val="0"/>
                <w:sz w:val="14"/>
                <w:sz w:val="14"/>
                <w:szCs w:val="14"/>
                <w:vertAlign w:val="baseline"/>
              </w:rPr>
              <w:t xml:space="preserve">previste da norme di legge e dai principi contabili </w:t>
            </w:r>
            <w:r>
              <w:rPr>
                <w:rFonts w:cs="Arial" w:ascii="Arial" w:hAnsi="Arial"/>
                <w:color w:val="000000" w:themeColor="text1" w:themeTint="bf"/>
                <w:position w:val="0"/>
                <w:sz w:val="14"/>
                <w:sz w:val="14"/>
                <w:szCs w:val="14"/>
                <w:vertAlign w:val="baseline"/>
              </w:rPr>
              <w:t>che hanno effetto sull'equilibrio</w:t>
            </w:r>
          </w:p>
        </w:tc>
        <w:tc>
          <w:tcPr>
            <w:tcW w:w="420" w:type="dxa"/>
            <w:tcBorders>
              <w:bottom w:val="single" w:sz="4" w:space="0" w:color="000000"/>
              <w:right w:val="single" w:sz="4" w:space="0" w:color="000000"/>
            </w:tcBorders>
            <w:shd w:fill="BFBFBF" w:val="clear"/>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position w:val="0"/>
                <w:sz w:val="14"/>
                <w:sz w:val="14"/>
                <w:szCs w:val="14"/>
                <w:vertAlign w:val="baseline"/>
              </w:rPr>
            </w:r>
          </w:p>
        </w:tc>
        <w:tc>
          <w:tcPr>
            <w:tcW w:w="1595" w:type="dxa"/>
            <w:tcBorders>
              <w:bottom w:val="single" w:sz="4" w:space="0" w:color="000000"/>
              <w:right w:val="single" w:sz="4" w:space="0" w:color="000000"/>
            </w:tcBorders>
            <w:shd w:fill="D9D9D9" w:val="clear"/>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position w:val="0"/>
                <w:sz w:val="14"/>
                <w:sz w:val="14"/>
                <w:szCs w:val="14"/>
                <w:vertAlign w:val="baseline"/>
              </w:rPr>
            </w:r>
          </w:p>
        </w:tc>
        <w:tc>
          <w:tcPr>
            <w:tcW w:w="3705" w:type="dxa"/>
            <w:gridSpan w:val="3"/>
            <w:tcBorders>
              <w:top w:val="single" w:sz="4" w:space="0" w:color="000000"/>
              <w:bottom w:val="single" w:sz="4" w:space="0" w:color="000000"/>
              <w:right w:val="single" w:sz="4" w:space="0" w:color="000000"/>
            </w:tcBorders>
            <w:shd w:fill="BFBFBF" w:val="clear"/>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highlight w:val="none"/>
                <w:shd w:fill="auto" w:val="clear"/>
                <w:vertAlign w:val="baseline"/>
              </w:rPr>
            </w:pPr>
            <w:r>
              <w:rPr>
                <w:rFonts w:cs="Arial" w:ascii="Arial" w:hAnsi="Arial"/>
                <w:color w:val="000000"/>
                <w:position w:val="0"/>
                <w:sz w:val="14"/>
                <w:sz w:val="14"/>
                <w:szCs w:val="14"/>
                <w:shd w:fill="auto" w:val="clear"/>
                <w:vertAlign w:val="baseline"/>
              </w:rPr>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Entrate di parte capitale destinate a spese correnti</w:t>
            </w:r>
            <w:r>
              <w:rPr>
                <w:rFonts w:cs="Arial" w:ascii="Arial" w:hAnsi="Arial"/>
                <w:b/>
                <w:bCs/>
                <w:color w:val="000000" w:themeColor="text1" w:themeTint="bf"/>
                <w:position w:val="0"/>
                <w:sz w:val="14"/>
                <w:sz w:val="14"/>
                <w:szCs w:val="14"/>
                <w:vertAlign w:val="baseline"/>
              </w:rPr>
              <w:t xml:space="preserve"> (E)</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0</w:t>
            </w:r>
          </w:p>
        </w:tc>
        <w:tc>
          <w:tcPr>
            <w:tcW w:w="1244"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r>
      <w:tr>
        <w:trPr>
          <w:trHeight w:val="360"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Entrate di parte corrente destinate a spese di investimento</w:t>
            </w:r>
            <w:r>
              <w:rPr>
                <w:rFonts w:cs="Arial" w:ascii="Arial" w:hAnsi="Arial"/>
                <w:b/>
                <w:bCs/>
                <w:color w:val="000000" w:themeColor="text1" w:themeTint="bf"/>
                <w:position w:val="0"/>
                <w:sz w:val="14"/>
                <w:sz w:val="14"/>
                <w:szCs w:val="14"/>
                <w:vertAlign w:val="baseline"/>
              </w:rPr>
              <w:t xml:space="preserve"> (F)</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91.448,09</w:t>
            </w:r>
          </w:p>
        </w:tc>
        <w:tc>
          <w:tcPr>
            <w:tcW w:w="1244"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90.130,28</w:t>
            </w:r>
          </w:p>
        </w:tc>
        <w:tc>
          <w:tcPr>
            <w:tcW w:w="1149"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90.130,28</w:t>
            </w:r>
          </w:p>
        </w:tc>
      </w:tr>
      <w:tr>
        <w:trPr>
          <w:trHeight w:val="35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Entrate da accensione di prestiti destinate a estinzione anticipata di prestiti</w:t>
            </w:r>
            <w:r>
              <w:rPr>
                <w:rFonts w:cs="Arial" w:ascii="Arial" w:hAnsi="Arial"/>
                <w:b/>
                <w:bCs/>
                <w:color w:val="000000" w:themeColor="text1" w:themeTint="bf"/>
                <w:position w:val="0"/>
                <w:sz w:val="14"/>
                <w:sz w:val="14"/>
                <w:szCs w:val="14"/>
                <w:vertAlign w:val="baseline"/>
              </w:rPr>
              <w:t xml:space="preserve"> (G)</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0</w:t>
            </w:r>
          </w:p>
        </w:tc>
        <w:tc>
          <w:tcPr>
            <w:tcW w:w="1244"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b/>
                <w:bCs/>
                <w:color w:val="000000" w:themeColor="text1" w:themeTint="bf"/>
                <w:position w:val="0"/>
                <w:sz w:val="14"/>
                <w:sz w:val="14"/>
                <w:szCs w:val="14"/>
                <w:vertAlign w:val="baseline"/>
              </w:rPr>
              <w:t>DIFFERENZA DI PARTE CORRENTE H (H=D+E-F+G)</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b/>
                <w:b/>
                <w:bCs/>
                <w:color w:val="000000" w:themeColor="text1" w:themeTint="bf"/>
                <w:position w:val="0"/>
                <w:sz w:val="14"/>
                <w:sz w:val="14"/>
                <w:szCs w:val="14"/>
                <w:vertAlign w:val="baseline"/>
              </w:rPr>
            </w:pPr>
            <w:r>
              <w:rPr>
                <w:rFonts w:eastAsia="Arial" w:cs="Arial" w:ascii="Arial" w:hAnsi="Arial"/>
                <w:b/>
                <w:bCs/>
                <w:color w:val="000000" w:themeColor="text1" w:themeTint="bf"/>
                <w:position w:val="0"/>
                <w:sz w:val="14"/>
                <w:sz w:val="14"/>
                <w:szCs w:val="14"/>
                <w:vertAlign w:val="baseline"/>
              </w:rPr>
              <w:t>3.689.989,55</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cs="Arial" w:ascii="Arial" w:hAnsi="Arial"/>
                <w:b/>
                <w:bCs/>
                <w:color w:val="000000" w:themeColor="text1" w:themeTint="bf"/>
                <w:position w:val="0"/>
                <w:sz w:val="14"/>
                <w:sz w:val="14"/>
                <w:szCs w:val="14"/>
                <w:shd w:fill="auto" w:val="clear"/>
                <w:vertAlign w:val="baseline"/>
              </w:rPr>
              <w:t>-104.674,55</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b/>
                <w:bCs/>
                <w:color w:val="000000" w:themeColor="text1" w:themeTint="bf"/>
                <w:position w:val="0"/>
                <w:sz w:val="14"/>
                <w:sz w:val="14"/>
                <w:szCs w:val="14"/>
                <w:shd w:fill="auto" w:val="clear"/>
                <w:vertAlign w:val="baseline"/>
              </w:rPr>
              <w:t>4.886.658,45</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b/>
                <w:bCs/>
                <w:color w:val="000000" w:themeColor="text1" w:themeTint="bf"/>
                <w:position w:val="0"/>
                <w:sz w:val="14"/>
                <w:sz w:val="14"/>
                <w:szCs w:val="14"/>
                <w:shd w:fill="auto" w:val="clear"/>
                <w:vertAlign w:val="baseline"/>
              </w:rPr>
              <w:t>4.781.983,90</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 xml:space="preserve">Entrate Titolo 4.00 - </w:t>
            </w:r>
            <w:r>
              <w:rPr>
                <w:rFonts w:cs="Arial" w:ascii="Arial" w:hAnsi="Arial"/>
                <w:i/>
                <w:iCs/>
                <w:color w:val="000000" w:themeColor="text1" w:themeTint="bf"/>
                <w:position w:val="0"/>
                <w:sz w:val="14"/>
                <w:sz w:val="14"/>
                <w:szCs w:val="14"/>
                <w:vertAlign w:val="baseline"/>
              </w:rPr>
              <w:t>Entrate in conto capitale</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MT" w:hAnsi="ArialMT" w:eastAsia="ArialMT;MS Gothic" w:cs="ArialMT;MS Gothic"/>
                <w:color w:val="000000" w:themeColor="text1" w:themeTint="bf"/>
                <w:position w:val="0"/>
                <w:sz w:val="14"/>
                <w:sz w:val="14"/>
                <w:szCs w:val="14"/>
                <w:vertAlign w:val="baseline"/>
              </w:rPr>
            </w:pPr>
            <w:r>
              <w:rPr>
                <w:rFonts w:eastAsia="ArialMT;MS Gothic" w:cs="ArialMT;MS Gothic" w:ascii="ArialMT" w:hAnsi="ArialMT"/>
                <w:color w:val="000000" w:themeColor="text1" w:themeTint="bf"/>
                <w:position w:val="0"/>
                <w:sz w:val="14"/>
                <w:sz w:val="14"/>
                <w:szCs w:val="14"/>
                <w:vertAlign w:val="baseline"/>
              </w:rPr>
              <w:t>8.119.979,28</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545.683,28</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359.190,58</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904.873,86</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 xml:space="preserve">Entrate Titolo 5.00 - </w:t>
            </w:r>
            <w:r>
              <w:rPr>
                <w:rFonts w:cs="Arial" w:ascii="Arial" w:hAnsi="Arial"/>
                <w:i/>
                <w:iCs/>
                <w:color w:val="000000" w:themeColor="text1" w:themeTint="bf"/>
                <w:position w:val="0"/>
                <w:sz w:val="14"/>
                <w:sz w:val="14"/>
                <w:szCs w:val="14"/>
                <w:vertAlign w:val="baseline"/>
              </w:rPr>
              <w:t>Entrate da rid. attività finanziarie</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MT" w:hAnsi="ArialMT" w:eastAsia="ArialMT;MS Gothic" w:cs="ArialMT;MS Gothic"/>
                <w:color w:val="000000" w:themeColor="text1" w:themeTint="bf"/>
                <w:position w:val="0"/>
                <w:sz w:val="14"/>
                <w:sz w:val="14"/>
                <w:szCs w:val="14"/>
                <w:vertAlign w:val="baseline"/>
              </w:rPr>
            </w:pPr>
            <w:r>
              <w:rPr>
                <w:rFonts w:eastAsia="ArialMT;MS Gothic" w:cs="ArialMT;MS Gothic" w:ascii="ArialMT" w:hAnsi="ArialMT"/>
                <w:color w:val="000000" w:themeColor="text1" w:themeTint="bf"/>
                <w:position w:val="0"/>
                <w:sz w:val="14"/>
                <w:sz w:val="14"/>
                <w:szCs w:val="14"/>
                <w:vertAlign w:val="baseline"/>
              </w:rPr>
              <w:t>1.000.518,49</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713.215,05</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713.215,05</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 xml:space="preserve">Entrate Titolo 6.00 - </w:t>
            </w:r>
            <w:r>
              <w:rPr>
                <w:rFonts w:cs="Arial" w:ascii="Arial" w:hAnsi="Arial"/>
                <w:i/>
                <w:iCs/>
                <w:color w:val="000000" w:themeColor="text1" w:themeTint="bf"/>
                <w:position w:val="0"/>
                <w:sz w:val="14"/>
                <w:sz w:val="14"/>
                <w:szCs w:val="14"/>
                <w:vertAlign w:val="baseline"/>
              </w:rPr>
              <w:t>Accensione prestiti</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MT" w:hAnsi="ArialMT" w:eastAsia="ArialMT;MS Gothic" w:cs="ArialMT;MS Gothic"/>
                <w:color w:val="000000" w:themeColor="text1" w:themeTint="bf"/>
                <w:position w:val="0"/>
                <w:sz w:val="14"/>
                <w:sz w:val="14"/>
                <w:szCs w:val="14"/>
                <w:vertAlign w:val="baseline"/>
              </w:rPr>
            </w:pPr>
            <w:r>
              <w:rPr>
                <w:rFonts w:eastAsia="ArialMT;MS Gothic" w:cs="ArialMT;MS Gothic" w:ascii="ArialMT" w:hAnsi="ArialMT"/>
                <w:color w:val="000000" w:themeColor="text1" w:themeTint="bf"/>
                <w:position w:val="0"/>
                <w:sz w:val="14"/>
                <w:sz w:val="14"/>
                <w:szCs w:val="14"/>
                <w:vertAlign w:val="baseline"/>
              </w:rPr>
              <w:t>1.440.518,49</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0</w:t>
            </w:r>
          </w:p>
        </w:tc>
      </w:tr>
      <w:tr>
        <w:trPr>
          <w:trHeight w:val="360"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Entrate di parte corrente destinate a spese di investimento (F)</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BFBFB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91.448,09</w:t>
            </w:r>
          </w:p>
        </w:tc>
        <w:tc>
          <w:tcPr>
            <w:tcW w:w="1244" w:type="dxa"/>
            <w:tcBorders>
              <w:bottom w:val="single" w:sz="4" w:space="0" w:color="000000"/>
              <w:right w:val="single" w:sz="4" w:space="0" w:color="000000"/>
            </w:tcBorders>
            <w:shd w:fill="BFBFB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90.130,28</w:t>
            </w:r>
          </w:p>
        </w:tc>
        <w:tc>
          <w:tcPr>
            <w:tcW w:w="1149" w:type="dxa"/>
            <w:tcBorders>
              <w:bottom w:val="single" w:sz="4" w:space="0" w:color="000000"/>
              <w:right w:val="single" w:sz="4" w:space="0" w:color="000000"/>
            </w:tcBorders>
            <w:shd w:fill="BFBFB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shd w:fill="BFBFBF"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90.130,28</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Totale Entrate Titoli 4.00+5.00+6.00 +F (I)</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pPr>
            <w:r>
              <w:rPr>
                <w:rFonts w:eastAsia="Arial" w:cs="Arial" w:ascii="Arial" w:hAnsi="Arial"/>
                <w:b/>
                <w:bCs/>
                <w:color w:val="000000" w:themeColor="text1" w:themeTint="bf"/>
                <w:position w:val="0"/>
                <w:sz w:val="14"/>
                <w:sz w:val="14"/>
                <w:szCs w:val="14"/>
                <w:vertAlign w:val="baseline"/>
              </w:rPr>
              <w:t>10.652.464,35</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b/>
                <w:bCs/>
                <w:color w:val="000000" w:themeColor="text1" w:themeTint="bf"/>
                <w:position w:val="0"/>
                <w:sz w:val="14"/>
                <w:sz w:val="14"/>
                <w:szCs w:val="14"/>
                <w:shd w:fill="auto" w:val="clear"/>
                <w:vertAlign w:val="baseline"/>
              </w:rPr>
              <w:t>635.813,56</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b/>
                <w:bCs/>
                <w:color w:val="000000" w:themeColor="text1" w:themeTint="bf"/>
                <w:position w:val="0"/>
                <w:sz w:val="14"/>
                <w:sz w:val="14"/>
                <w:szCs w:val="14"/>
                <w:shd w:fill="auto" w:val="clear"/>
                <w:vertAlign w:val="baseline"/>
              </w:rPr>
              <w:t>1.072.405,63</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b/>
                <w:bCs/>
                <w:color w:val="000000" w:themeColor="text1" w:themeTint="bf"/>
                <w:position w:val="0"/>
                <w:sz w:val="14"/>
                <w:sz w:val="14"/>
                <w:szCs w:val="14"/>
                <w:shd w:fill="auto" w:val="clear"/>
                <w:vertAlign w:val="baseline"/>
              </w:rPr>
              <w:t>1.708.219,19</w:t>
            </w:r>
          </w:p>
        </w:tc>
      </w:tr>
      <w:tr>
        <w:trPr>
          <w:trHeight w:val="523"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 xml:space="preserve">Entrate Titolo 4.02.06 - Contributi agli investimenti direttamente destinati al rimborso dei prestiti da amministrazioni pubbliche </w:t>
            </w:r>
            <w:r>
              <w:rPr>
                <w:rFonts w:cs="Arial" w:ascii="Arial" w:hAnsi="Arial"/>
                <w:b/>
                <w:bCs/>
                <w:color w:val="000000" w:themeColor="text1" w:themeTint="bf"/>
                <w:position w:val="0"/>
                <w:sz w:val="14"/>
                <w:sz w:val="14"/>
                <w:szCs w:val="14"/>
                <w:vertAlign w:val="baseline"/>
              </w:rPr>
              <w:t>(B1)</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BFBFB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themeColor="text1" w:themeTint="bf"/>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0</w:t>
            </w:r>
          </w:p>
        </w:tc>
        <w:tc>
          <w:tcPr>
            <w:tcW w:w="1244" w:type="dxa"/>
            <w:tcBorders>
              <w:bottom w:val="single" w:sz="4" w:space="0" w:color="000000"/>
              <w:right w:val="single" w:sz="4" w:space="0" w:color="000000"/>
            </w:tcBorders>
            <w:shd w:fill="BFBFBF"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shd w:fill="BFBFBF"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shd w:fill="BFBFBF"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Entrate Titolo 5.02 Riscoss. di crediti a breve termine</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0</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Entrate Titolo 5.03 Riscoss. di crediti a m/l termine</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0</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Entrate Titolo 5.04 per riduzione attività finanziarie</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vertAlign w:val="baseline"/>
              </w:rPr>
            </w:pPr>
            <w:r>
              <w:rPr>
                <w:rFonts w:eastAsia="Arial" w:cs="Arial" w:ascii="ArialMT" w:hAnsi="ArialMT"/>
                <w:color w:val="000000" w:themeColor="text1" w:themeTint="bf"/>
                <w:position w:val="0"/>
                <w:sz w:val="14"/>
                <w:sz w:val="14"/>
                <w:szCs w:val="14"/>
                <w:vertAlign w:val="baseline"/>
              </w:rPr>
              <w:t>1.000.518,49</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713.215,05</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713.215,05</w:t>
            </w:r>
          </w:p>
        </w:tc>
      </w:tr>
      <w:tr>
        <w:trPr>
          <w:trHeight w:val="540"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Totale Entrate per riscossione di crediti e altre entrate per riduzione di attività finanziarie L1  (L1=Titoli 5.02,5.03, 5.04)</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 w:cs="Arial" w:ascii="ArialMT" w:hAnsi="ArialMT"/>
                <w:b/>
                <w:bCs/>
                <w:color w:val="000000" w:themeColor="text1" w:themeTint="bf"/>
                <w:position w:val="0"/>
                <w:sz w:val="14"/>
                <w:sz w:val="14"/>
                <w:szCs w:val="14"/>
                <w:vertAlign w:val="baseline"/>
              </w:rPr>
              <w:t>1.000.518,49</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 w:cs="Arial" w:ascii="Arial" w:hAnsi="Arial"/>
                <w:b/>
                <w:bCs/>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 w:cs="Arial" w:ascii="Arial" w:hAnsi="Arial"/>
                <w:b/>
                <w:bCs/>
                <w:color w:val="000000" w:themeColor="text1" w:themeTint="bf"/>
                <w:position w:val="0"/>
                <w:sz w:val="14"/>
                <w:sz w:val="14"/>
                <w:szCs w:val="14"/>
                <w:shd w:fill="auto" w:val="clear"/>
                <w:vertAlign w:val="baseline"/>
              </w:rPr>
              <w:t>713.215,05</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 w:cs="Arial" w:ascii="Arial" w:hAnsi="Arial"/>
                <w:b/>
                <w:bCs/>
                <w:color w:val="000000" w:themeColor="text1" w:themeTint="bf"/>
                <w:position w:val="0"/>
                <w:sz w:val="14"/>
                <w:sz w:val="14"/>
                <w:szCs w:val="14"/>
                <w:shd w:fill="auto" w:val="clear"/>
                <w:vertAlign w:val="baseline"/>
              </w:rPr>
              <w:t>713.215,05</w:t>
            </w:r>
          </w:p>
        </w:tc>
      </w:tr>
      <w:tr>
        <w:trPr>
          <w:trHeight w:val="540"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b/>
                <w:bCs/>
                <w:color w:val="000000" w:themeColor="text1" w:themeTint="bf"/>
                <w:position w:val="0"/>
                <w:sz w:val="14"/>
                <w:sz w:val="14"/>
                <w:szCs w:val="14"/>
                <w:vertAlign w:val="baseline"/>
              </w:rPr>
              <w:t>Totale Entrate per riscossione di crediti, contributi agli investimenti e altre entrate per riduzione di attività finanziarie (L=B1+L1)</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 w:cs="Arial" w:ascii="ArialMT" w:hAnsi="ArialMT"/>
                <w:b/>
                <w:bCs/>
                <w:color w:val="000000" w:themeColor="text1" w:themeTint="bf"/>
                <w:position w:val="0"/>
                <w:sz w:val="14"/>
                <w:sz w:val="14"/>
                <w:szCs w:val="14"/>
                <w:vertAlign w:val="baseline"/>
              </w:rPr>
              <w:t>1.000.518,49</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 w:cs="Arial" w:ascii="Arial" w:hAnsi="Arial"/>
                <w:b/>
                <w:bCs/>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 w:cs="Arial" w:ascii="Arial" w:hAnsi="Arial"/>
                <w:b/>
                <w:bCs/>
                <w:color w:val="000000" w:themeColor="text1" w:themeTint="bf"/>
                <w:position w:val="0"/>
                <w:sz w:val="14"/>
                <w:sz w:val="14"/>
                <w:szCs w:val="14"/>
                <w:shd w:fill="auto" w:val="clear"/>
                <w:vertAlign w:val="baseline"/>
              </w:rPr>
              <w:t>713.215,05</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 w:cs="Arial" w:ascii="Arial" w:hAnsi="Arial"/>
                <w:b/>
                <w:bCs/>
                <w:color w:val="000000" w:themeColor="text1" w:themeTint="bf"/>
                <w:position w:val="0"/>
                <w:sz w:val="14"/>
                <w:sz w:val="14"/>
                <w:szCs w:val="14"/>
                <w:shd w:fill="auto" w:val="clear"/>
                <w:vertAlign w:val="baseline"/>
              </w:rPr>
              <w:t>713.215,05</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rFonts w:ascii="Arial" w:hAnsi="Arial" w:cs="Arial"/>
                <w:b/>
                <w:b/>
                <w:bCs/>
                <w:color w:val="000000"/>
                <w:position w:val="0"/>
                <w:sz w:val="14"/>
                <w:sz w:val="14"/>
                <w:szCs w:val="14"/>
                <w:highlight w:val="none"/>
                <w:shd w:fill="auto" w:val="clear"/>
                <w:vertAlign w:val="baseline"/>
              </w:rPr>
            </w:pPr>
            <w:r>
              <w:rPr>
                <w:rFonts w:cs="Arial" w:ascii="Arial" w:hAnsi="Arial"/>
                <w:b/>
                <w:bCs/>
                <w:color w:val="000000" w:themeColor="text1" w:themeTint="bf"/>
                <w:position w:val="0"/>
                <w:sz w:val="14"/>
                <w:sz w:val="14"/>
                <w:szCs w:val="14"/>
                <w:shd w:fill="auto" w:val="clear"/>
                <w:vertAlign w:val="baseline"/>
              </w:rPr>
              <w:t>Totale Entrate di parte capitale M (M=I-L)</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b/>
                <w:b/>
                <w:bCs/>
                <w:color w:val="000000"/>
                <w:position w:val="0"/>
                <w:sz w:val="14"/>
                <w:sz w:val="14"/>
                <w:szCs w:val="14"/>
                <w:highlight w:val="none"/>
                <w:shd w:fill="auto" w:val="clear"/>
                <w:vertAlign w:val="baseline"/>
              </w:rPr>
            </w:pPr>
            <w:r>
              <w:rPr>
                <w:rFonts w:cs="Arial" w:ascii="Arial" w:hAnsi="Arial"/>
                <w:b/>
                <w:bCs/>
                <w:color w:val="000000" w:themeColor="text1" w:themeTint="bf"/>
                <w:position w:val="0"/>
                <w:sz w:val="14"/>
                <w:sz w:val="14"/>
                <w:szCs w:val="14"/>
                <w:shd w:fill="auto" w:val="clear"/>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b/>
                <w:bCs/>
                <w:color w:val="000000" w:themeColor="text1" w:themeTint="bf"/>
                <w:position w:val="0"/>
                <w:sz w:val="14"/>
                <w:sz w:val="14"/>
                <w:szCs w:val="14"/>
                <w:shd w:fill="auto" w:val="clear"/>
                <w:vertAlign w:val="baseline"/>
              </w:rPr>
              <w:t>9.651.945,86</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b/>
                <w:bCs/>
                <w:color w:val="000000" w:themeColor="text1" w:themeTint="bf"/>
                <w:position w:val="0"/>
                <w:sz w:val="14"/>
                <w:sz w:val="14"/>
                <w:szCs w:val="14"/>
                <w:shd w:fill="auto" w:val="clear"/>
                <w:vertAlign w:val="baseline"/>
              </w:rPr>
              <w:t>635.813,56</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b/>
                <w:bCs/>
                <w:color w:val="000000" w:themeColor="text1" w:themeTint="bf"/>
                <w:position w:val="0"/>
                <w:sz w:val="14"/>
                <w:sz w:val="14"/>
                <w:szCs w:val="14"/>
                <w:shd w:fill="auto" w:val="clear"/>
                <w:vertAlign w:val="baseline"/>
              </w:rPr>
              <w:t>359.190,58</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b/>
                <w:bCs/>
                <w:color w:val="000000" w:themeColor="text1" w:themeTint="bf"/>
                <w:position w:val="0"/>
                <w:sz w:val="14"/>
                <w:sz w:val="14"/>
                <w:szCs w:val="14"/>
                <w:shd w:fill="auto" w:val="clear"/>
                <w:vertAlign w:val="baseline"/>
              </w:rPr>
              <w:t>995.004,14</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Spese Titolo 2.00</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MT" w:hAnsi="ArialMT" w:eastAsia="ArialMT;MS Gothic" w:cs="ArialMT;MS Gothic"/>
                <w:color w:val="000000" w:themeColor="text1" w:themeTint="bf"/>
                <w:position w:val="0"/>
                <w:sz w:val="14"/>
                <w:sz w:val="14"/>
                <w:szCs w:val="14"/>
                <w:vertAlign w:val="baseline"/>
              </w:rPr>
            </w:pPr>
            <w:r>
              <w:rPr>
                <w:rFonts w:eastAsia="ArialMT;MS Gothic" w:cs="ArialMT;MS Gothic" w:ascii="ArialMT" w:hAnsi="ArialMT"/>
                <w:color w:val="000000" w:themeColor="text1" w:themeTint="bf"/>
                <w:position w:val="0"/>
                <w:sz w:val="14"/>
                <w:sz w:val="14"/>
                <w:szCs w:val="14"/>
                <w:vertAlign w:val="baseline"/>
              </w:rPr>
              <w:t>12.984.022,14</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1.537.250,34</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993.119,15</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MT;MS Gothic" w:cs="ArialMT;MS Gothic" w:ascii="ArialMT" w:hAnsi="ArialMT"/>
                <w:color w:val="000000" w:themeColor="text1" w:themeTint="bf"/>
                <w:position w:val="0"/>
                <w:sz w:val="14"/>
                <w:sz w:val="14"/>
                <w:szCs w:val="14"/>
                <w:shd w:fill="auto" w:val="clear"/>
                <w:vertAlign w:val="baseline"/>
              </w:rPr>
              <w:t>2.530.369,49</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Spese Titolo 3.01 per acquisizioni attività finanziarie</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0</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Totale Spese Titolo 2,00, 3.01 (N)</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MT;MS Gothic" w:cs="ArialMT;MS Gothic" w:ascii="ArialMT" w:hAnsi="ArialMT"/>
                <w:b/>
                <w:bCs/>
                <w:color w:val="000000" w:themeColor="text1" w:themeTint="bf"/>
                <w:position w:val="0"/>
                <w:sz w:val="14"/>
                <w:sz w:val="14"/>
                <w:szCs w:val="14"/>
                <w:vertAlign w:val="baseline"/>
              </w:rPr>
              <w:t>12.984.022,14</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MT;MS Gothic" w:cs="ArialMT;MS Gothic" w:ascii="ArialMT" w:hAnsi="ArialMT"/>
                <w:b/>
                <w:bCs/>
                <w:color w:val="000000" w:themeColor="text1" w:themeTint="bf"/>
                <w:position w:val="0"/>
                <w:sz w:val="14"/>
                <w:sz w:val="14"/>
                <w:szCs w:val="14"/>
                <w:shd w:fill="auto" w:val="clear"/>
                <w:vertAlign w:val="baseline"/>
              </w:rPr>
              <w:t>1.537.250,34</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MT;MS Gothic" w:cs="ArialMT;MS Gothic" w:ascii="ArialMT" w:hAnsi="ArialMT"/>
                <w:b/>
                <w:bCs/>
                <w:color w:val="000000" w:themeColor="text1" w:themeTint="bf"/>
                <w:position w:val="0"/>
                <w:sz w:val="14"/>
                <w:sz w:val="14"/>
                <w:szCs w:val="14"/>
                <w:shd w:fill="auto" w:val="clear"/>
                <w:vertAlign w:val="baseline"/>
              </w:rPr>
              <w:t>993.119,15</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MT;MS Gothic" w:cs="ArialMT;MS Gothic" w:ascii="ArialMT" w:hAnsi="ArialMT"/>
                <w:b/>
                <w:bCs/>
                <w:color w:val="000000" w:themeColor="text1" w:themeTint="bf"/>
                <w:position w:val="0"/>
                <w:sz w:val="14"/>
                <w:sz w:val="14"/>
                <w:szCs w:val="14"/>
                <w:shd w:fill="auto" w:val="clear"/>
                <w:vertAlign w:val="baseline"/>
              </w:rPr>
              <w:t>2.530.369,49</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Spese Titolo 2.04 - Altri trasferimenti in c/capitale (O)</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BFBFBF" w:val="clear"/>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 w:cs="Arial" w:ascii="Arial" w:hAnsi="Arial"/>
                <w:b/>
                <w:bCs/>
                <w:color w:val="000000" w:themeColor="text1" w:themeTint="bf"/>
                <w:position w:val="0"/>
                <w:sz w:val="14"/>
                <w:sz w:val="14"/>
                <w:szCs w:val="14"/>
                <w:vertAlign w:val="baseline"/>
              </w:rPr>
              <w:t>0</w:t>
            </w:r>
          </w:p>
        </w:tc>
        <w:tc>
          <w:tcPr>
            <w:tcW w:w="1244" w:type="dxa"/>
            <w:tcBorders>
              <w:bottom w:val="single" w:sz="4" w:space="0" w:color="000000"/>
              <w:right w:val="single" w:sz="4" w:space="0" w:color="000000"/>
            </w:tcBorders>
            <w:shd w:fill="BFBFBF" w:val="clear"/>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 w:cs="Arial" w:ascii="Arial" w:hAnsi="Arial"/>
                <w:b/>
                <w:bCs/>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shd w:fill="BFBFBF" w:val="clear"/>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 w:cs="Arial" w:ascii="Arial" w:hAnsi="Arial"/>
                <w:b/>
                <w:bCs/>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shd w:fill="BFBFBF" w:val="clear"/>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 w:cs="Arial" w:ascii="Arial" w:hAnsi="Arial"/>
                <w:b/>
                <w:bCs/>
                <w:color w:val="000000" w:themeColor="text1" w:themeTint="bf"/>
                <w:position w:val="0"/>
                <w:sz w:val="14"/>
                <w:sz w:val="14"/>
                <w:szCs w:val="14"/>
                <w:shd w:fill="auto" w:val="clear"/>
                <w:vertAlign w:val="baseline"/>
              </w:rPr>
              <w:t>0</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rFonts w:ascii="Arial" w:hAnsi="Arial" w:cs="Arial"/>
                <w:b/>
                <w:b/>
                <w:bCs/>
                <w:color w:val="000000"/>
                <w:position w:val="0"/>
                <w:sz w:val="14"/>
                <w:sz w:val="14"/>
                <w:szCs w:val="14"/>
                <w:highlight w:val="none"/>
                <w:shd w:fill="auto" w:val="clear"/>
                <w:vertAlign w:val="baseline"/>
              </w:rPr>
            </w:pPr>
            <w:r>
              <w:rPr>
                <w:rFonts w:cs="Arial" w:ascii="Arial" w:hAnsi="Arial"/>
                <w:b/>
                <w:bCs/>
                <w:color w:val="000000" w:themeColor="text1" w:themeTint="bf"/>
                <w:position w:val="0"/>
                <w:sz w:val="14"/>
                <w:sz w:val="14"/>
                <w:szCs w:val="14"/>
                <w:shd w:fill="auto" w:val="clear"/>
                <w:vertAlign w:val="baseline"/>
              </w:rPr>
              <w:t>Totale spese di parte capitale P (P=N-O)</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b/>
                <w:b/>
                <w:bCs/>
                <w:color w:val="000000"/>
                <w:position w:val="0"/>
                <w:sz w:val="14"/>
                <w:sz w:val="14"/>
                <w:szCs w:val="14"/>
                <w:highlight w:val="none"/>
                <w:shd w:fill="auto" w:val="clear"/>
                <w:vertAlign w:val="baseline"/>
              </w:rPr>
            </w:pPr>
            <w:r>
              <w:rPr>
                <w:rFonts w:cs="Arial" w:ascii="Arial" w:hAnsi="Arial"/>
                <w:b/>
                <w:bCs/>
                <w:color w:val="000000" w:themeColor="text1" w:themeTint="bf"/>
                <w:position w:val="0"/>
                <w:sz w:val="14"/>
                <w:sz w:val="14"/>
                <w:szCs w:val="14"/>
                <w:shd w:fill="auto" w:val="clear"/>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MT;MS Gothic" w:cs="ArialMT;MS Gothic" w:ascii="ArialMT" w:hAnsi="ArialMT"/>
                <w:b/>
                <w:bCs/>
                <w:color w:val="000000" w:themeColor="text1" w:themeTint="bf"/>
                <w:position w:val="0"/>
                <w:sz w:val="14"/>
                <w:sz w:val="14"/>
                <w:szCs w:val="14"/>
                <w:vertAlign w:val="baseline"/>
              </w:rPr>
              <w:t>12.984.022,14</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MT;MS Gothic" w:cs="ArialMT;MS Gothic" w:ascii="ArialMT" w:hAnsi="ArialMT"/>
                <w:b/>
                <w:bCs/>
                <w:color w:val="000000" w:themeColor="text1" w:themeTint="bf"/>
                <w:position w:val="0"/>
                <w:sz w:val="14"/>
                <w:sz w:val="14"/>
                <w:szCs w:val="14"/>
                <w:shd w:fill="auto" w:val="clear"/>
                <w:vertAlign w:val="baseline"/>
              </w:rPr>
              <w:t>1.537.250,34</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MT;MS Gothic" w:cs="ArialMT;MS Gothic" w:ascii="ArialMT" w:hAnsi="ArialMT"/>
                <w:b/>
                <w:bCs/>
                <w:color w:val="000000" w:themeColor="text1" w:themeTint="bf"/>
                <w:position w:val="0"/>
                <w:sz w:val="14"/>
                <w:sz w:val="14"/>
                <w:szCs w:val="14"/>
                <w:shd w:fill="auto" w:val="clear"/>
                <w:vertAlign w:val="baseline"/>
              </w:rPr>
              <w:t>993.119,15</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MT;MS Gothic" w:cs="ArialMT;MS Gothic" w:ascii="ArialMT" w:hAnsi="ArialMT"/>
                <w:b/>
                <w:bCs/>
                <w:color w:val="000000" w:themeColor="text1" w:themeTint="bf"/>
                <w:position w:val="0"/>
                <w:sz w:val="14"/>
                <w:sz w:val="14"/>
                <w:szCs w:val="14"/>
                <w:shd w:fill="auto" w:val="clear"/>
                <w:vertAlign w:val="baseline"/>
              </w:rPr>
              <w:t>2.530.369,49</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b/>
                <w:bCs/>
                <w:color w:val="000000" w:themeColor="text1" w:themeTint="bf"/>
                <w:position w:val="0"/>
                <w:sz w:val="14"/>
                <w:sz w:val="14"/>
                <w:szCs w:val="14"/>
                <w:vertAlign w:val="baseline"/>
              </w:rPr>
              <w:t>DIFFERENZA DI PARTE CAPITALE Q (Q=M-P-E-G)</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pPr>
            <w:r>
              <w:rPr>
                <w:rFonts w:cs="Arial" w:ascii="Arial" w:hAnsi="Arial"/>
                <w:b/>
                <w:bCs/>
                <w:color w:val="000000" w:themeColor="text1" w:themeTint="bf"/>
                <w:position w:val="0"/>
                <w:sz w:val="14"/>
                <w:sz w:val="14"/>
                <w:szCs w:val="14"/>
                <w:vertAlign w:val="baseline"/>
              </w:rPr>
              <w:t>-3.332.076,28</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cs="Arial" w:ascii="Arial" w:hAnsi="Arial"/>
                <w:b/>
                <w:bCs/>
                <w:color w:val="000000" w:themeColor="text1" w:themeTint="bf"/>
                <w:position w:val="0"/>
                <w:sz w:val="14"/>
                <w:sz w:val="14"/>
                <w:szCs w:val="14"/>
                <w:shd w:fill="auto" w:val="clear"/>
                <w:vertAlign w:val="baseline"/>
              </w:rPr>
              <w:t>-901.436,78</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cs="Arial" w:ascii="Arial" w:hAnsi="Arial"/>
                <w:b/>
                <w:bCs/>
                <w:color w:val="000000" w:themeColor="text1" w:themeTint="bf"/>
                <w:position w:val="0"/>
                <w:sz w:val="14"/>
                <w:sz w:val="14"/>
                <w:szCs w:val="14"/>
                <w:shd w:fill="auto" w:val="clear"/>
                <w:vertAlign w:val="baseline"/>
              </w:rPr>
              <w:t>-633.928,57</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cs="Arial" w:ascii="Arial" w:hAnsi="Arial"/>
                <w:b/>
                <w:bCs/>
                <w:color w:val="000000" w:themeColor="text1" w:themeTint="bf"/>
                <w:position w:val="0"/>
                <w:sz w:val="14"/>
                <w:sz w:val="14"/>
                <w:szCs w:val="14"/>
                <w:shd w:fill="auto" w:val="clear"/>
                <w:vertAlign w:val="baseline"/>
              </w:rPr>
              <w:t>-1.535.365,35</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Spese Titolo 3.02 per concess. crediti di breve termine</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position w:val="0"/>
                <w:sz w:val="14"/>
                <w:sz w:val="14"/>
                <w:szCs w:val="14"/>
                <w:vertAlign w:val="baseline"/>
              </w:rPr>
            </w:pPr>
            <w:r>
              <w:rPr>
                <w:rFonts w:cs="Arial" w:ascii="Arial" w:hAnsi="Arial"/>
                <w:position w:val="0"/>
                <w:sz w:val="14"/>
                <w:sz w:val="14"/>
                <w:szCs w:val="14"/>
                <w:vertAlign w:val="baseline"/>
              </w:rPr>
              <w:t>+</w:t>
            </w:r>
          </w:p>
        </w:tc>
        <w:tc>
          <w:tcPr>
            <w:tcW w:w="1595"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vertAlign w:val="baseline"/>
              </w:rPr>
            </w:pPr>
            <w:r>
              <w:rPr>
                <w:rFonts w:cs="Arial" w:ascii="Arial" w:hAnsi="Arial"/>
                <w:color w:val="000000"/>
                <w:position w:val="0"/>
                <w:sz w:val="14"/>
                <w:sz w:val="14"/>
                <w:szCs w:val="14"/>
                <w:vertAlign w:val="baseline"/>
              </w:rPr>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cs="Arial" w:ascii="Arial" w:hAnsi="Arial"/>
                <w:color w:val="000000"/>
                <w:position w:val="0"/>
                <w:sz w:val="14"/>
                <w:sz w:val="14"/>
                <w:szCs w:val="14"/>
                <w:shd w:fill="auto" w:val="clear"/>
                <w:vertAlign w:val="baseline"/>
              </w:rPr>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cs="Arial" w:ascii="Arial" w:hAnsi="Arial"/>
                <w:color w:val="000000"/>
                <w:position w:val="0"/>
                <w:sz w:val="14"/>
                <w:sz w:val="14"/>
                <w:szCs w:val="14"/>
                <w:shd w:fill="auto" w:val="clear"/>
                <w:vertAlign w:val="baseline"/>
              </w:rPr>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shd w:fill="auto" w:val="clear"/>
              </w:rPr>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Spese Titolo 3.03 per concess. crediti di m/l termine</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position w:val="0"/>
                <w:sz w:val="14"/>
                <w:sz w:val="14"/>
                <w:szCs w:val="14"/>
                <w:vertAlign w:val="baseline"/>
              </w:rPr>
            </w:pPr>
            <w:r>
              <w:rPr>
                <w:rFonts w:cs="Arial" w:ascii="Arial" w:hAnsi="Arial"/>
                <w:position w:val="0"/>
                <w:sz w:val="14"/>
                <w:sz w:val="14"/>
                <w:szCs w:val="14"/>
                <w:vertAlign w:val="baseline"/>
              </w:rPr>
              <w:t>+</w:t>
            </w:r>
          </w:p>
        </w:tc>
        <w:tc>
          <w:tcPr>
            <w:tcW w:w="1595"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vertAlign w:val="baseline"/>
              </w:rPr>
            </w:pPr>
            <w:r>
              <w:rPr>
                <w:rFonts w:cs="Arial" w:ascii="Arial" w:hAnsi="Arial"/>
                <w:color w:val="000000"/>
                <w:position w:val="0"/>
                <w:sz w:val="14"/>
                <w:sz w:val="14"/>
                <w:szCs w:val="14"/>
                <w:vertAlign w:val="baseline"/>
              </w:rPr>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cs="Arial" w:ascii="Arial" w:hAnsi="Arial"/>
                <w:color w:val="000000"/>
                <w:position w:val="0"/>
                <w:sz w:val="14"/>
                <w:sz w:val="14"/>
                <w:szCs w:val="14"/>
                <w:shd w:fill="auto" w:val="clear"/>
                <w:vertAlign w:val="baseline"/>
              </w:rPr>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cs="Arial" w:ascii="Arial" w:hAnsi="Arial"/>
                <w:color w:val="000000"/>
                <w:position w:val="0"/>
                <w:sz w:val="14"/>
                <w:sz w:val="14"/>
                <w:szCs w:val="14"/>
                <w:shd w:fill="auto" w:val="clear"/>
                <w:vertAlign w:val="baseline"/>
              </w:rPr>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shd w:fill="auto" w:val="clear"/>
              </w:rPr>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Spese Titolo 3.04 Altre spese increm. di attività finanz.</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position w:val="0"/>
                <w:sz w:val="14"/>
                <w:sz w:val="14"/>
                <w:szCs w:val="14"/>
                <w:vertAlign w:val="baseline"/>
              </w:rPr>
            </w:pPr>
            <w:r>
              <w:rPr>
                <w:rFonts w:cs="Arial" w:ascii="Arial" w:hAnsi="Arial"/>
                <w:position w:val="0"/>
                <w:sz w:val="14"/>
                <w:sz w:val="14"/>
                <w:szCs w:val="14"/>
                <w:vertAlign w:val="baseline"/>
              </w:rPr>
              <w:t>+</w:t>
            </w:r>
          </w:p>
        </w:tc>
        <w:tc>
          <w:tcPr>
            <w:tcW w:w="1595"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pPr>
            <w:r>
              <w:rPr>
                <w:rFonts w:eastAsia="Arial" w:cs="ArialMT;MS Gothic" w:ascii="ArialMT" w:hAnsi="ArialMT"/>
                <w:color w:val="000000" w:themeColor="text1" w:themeTint="bf"/>
                <w:position w:val="0"/>
                <w:sz w:val="14"/>
                <w:sz w:val="14"/>
                <w:szCs w:val="14"/>
                <w:vertAlign w:val="baseline"/>
              </w:rPr>
              <w:t>1.000.518,49</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MT;MS Gothic" w:ascii="ArialMT" w:hAnsi="ArialMT"/>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MT;MS Gothic" w:ascii="ArialMT" w:hAnsi="ArialMT"/>
                <w:color w:val="000000" w:themeColor="text1" w:themeTint="bf"/>
                <w:position w:val="0"/>
                <w:sz w:val="14"/>
                <w:sz w:val="14"/>
                <w:szCs w:val="14"/>
                <w:shd w:fill="auto" w:val="clear"/>
                <w:vertAlign w:val="baseline"/>
              </w:rPr>
              <w:t>0</w:t>
            </w:r>
          </w:p>
        </w:tc>
      </w:tr>
      <w:tr>
        <w:trPr>
          <w:trHeight w:val="540"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both"/>
              <w:textAlignment w:val="auto"/>
              <w:rPr/>
            </w:pPr>
            <w:r>
              <w:rPr>
                <w:rFonts w:cs="Arial" w:ascii="Arial" w:hAnsi="Arial"/>
                <w:b/>
                <w:bCs/>
                <w:color w:val="000000" w:themeColor="text1" w:themeTint="bf"/>
                <w:position w:val="0"/>
                <w:sz w:val="14"/>
                <w:sz w:val="14"/>
                <w:szCs w:val="14"/>
                <w:vertAlign w:val="baseline"/>
              </w:rPr>
              <w:t>Totale spese per concessione di crediti e altre spese per incremento attività finanziarie  R (R=somma titoli 3.02, 3.03,3.04)</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 w:cs="ArialMT;MS Gothic" w:ascii="ArialMT" w:hAnsi="ArialMT"/>
                <w:b/>
                <w:bCs/>
                <w:color w:val="000000" w:themeColor="text1" w:themeTint="bf"/>
                <w:position w:val="0"/>
                <w:sz w:val="14"/>
                <w:sz w:val="14"/>
                <w:szCs w:val="14"/>
                <w:vertAlign w:val="baseline"/>
              </w:rPr>
              <w:t>1.000.518,49</w:t>
            </w:r>
          </w:p>
        </w:tc>
        <w:tc>
          <w:tcPr>
            <w:tcW w:w="1244"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 w:cs="ArialMT;MS Gothic" w:ascii="ArialMT" w:hAnsi="ArialMT"/>
                <w:b/>
                <w:bCs/>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 w:cs="Arial" w:ascii="Arial" w:hAnsi="Arial"/>
                <w:b/>
                <w:bCs/>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b/>
                <w:b/>
                <w:bCs/>
              </w:rPr>
            </w:pPr>
            <w:r>
              <w:rPr>
                <w:rFonts w:eastAsia="Arial" w:cs="ArialMT;MS Gothic" w:ascii="ArialMT" w:hAnsi="ArialMT"/>
                <w:b/>
                <w:bCs/>
                <w:color w:val="000000" w:themeColor="text1" w:themeTint="bf"/>
                <w:position w:val="0"/>
                <w:sz w:val="14"/>
                <w:sz w:val="14"/>
                <w:szCs w:val="14"/>
                <w:shd w:fill="auto" w:val="clear"/>
                <w:vertAlign w:val="baseline"/>
              </w:rPr>
              <w:t>0</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 xml:space="preserve">Entrate titolo 7 </w:t>
            </w:r>
            <w:r>
              <w:rPr>
                <w:rFonts w:cs="Arial" w:ascii="Arial" w:hAnsi="Arial"/>
                <w:b/>
                <w:bCs/>
                <w:color w:val="000000" w:themeColor="text1" w:themeTint="bf"/>
                <w:position w:val="0"/>
                <w:sz w:val="14"/>
                <w:sz w:val="14"/>
                <w:szCs w:val="14"/>
                <w:vertAlign w:val="baseline"/>
              </w:rPr>
              <w:t>(S)</w:t>
            </w:r>
            <w:r>
              <w:rPr>
                <w:rFonts w:cs="Arial" w:ascii="Arial" w:hAnsi="Arial"/>
                <w:color w:val="000000" w:themeColor="text1" w:themeTint="bf"/>
                <w:position w:val="0"/>
                <w:sz w:val="14"/>
                <w:sz w:val="14"/>
                <w:szCs w:val="14"/>
                <w:vertAlign w:val="baseline"/>
              </w:rPr>
              <w:t xml:space="preserve"> - </w:t>
            </w:r>
            <w:r>
              <w:rPr>
                <w:rFonts w:cs="Arial" w:ascii="Arial" w:hAnsi="Arial"/>
                <w:i/>
                <w:iCs/>
                <w:color w:val="000000" w:themeColor="text1" w:themeTint="bf"/>
                <w:position w:val="0"/>
                <w:sz w:val="14"/>
                <w:sz w:val="14"/>
                <w:szCs w:val="14"/>
                <w:vertAlign w:val="baseline"/>
              </w:rPr>
              <w:t>Anticipazioni da tesoriere</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position w:val="0"/>
                <w:sz w:val="14"/>
                <w:sz w:val="14"/>
                <w:szCs w:val="14"/>
                <w:vertAlign w:val="baseline"/>
              </w:rPr>
            </w:pPr>
            <w:r>
              <w:rPr>
                <w:rFonts w:cs="Arial" w:ascii="Arial" w:hAnsi="Arial"/>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5.000.000,00</w:t>
            </w:r>
          </w:p>
        </w:tc>
        <w:tc>
          <w:tcPr>
            <w:tcW w:w="1244"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 xml:space="preserve">Spese titolo 5 </w:t>
            </w:r>
            <w:r>
              <w:rPr>
                <w:rFonts w:cs="Arial" w:ascii="Arial" w:hAnsi="Arial"/>
                <w:b/>
                <w:bCs/>
                <w:color w:val="000000" w:themeColor="text1" w:themeTint="bf"/>
                <w:position w:val="0"/>
                <w:sz w:val="14"/>
                <w:sz w:val="14"/>
                <w:szCs w:val="14"/>
                <w:vertAlign w:val="baseline"/>
              </w:rPr>
              <w:t>(T)</w:t>
            </w:r>
            <w:r>
              <w:rPr>
                <w:rFonts w:cs="Arial" w:ascii="Arial" w:hAnsi="Arial"/>
                <w:color w:val="000000" w:themeColor="text1" w:themeTint="bf"/>
                <w:position w:val="0"/>
                <w:sz w:val="14"/>
                <w:sz w:val="14"/>
                <w:szCs w:val="14"/>
                <w:vertAlign w:val="baseline"/>
              </w:rPr>
              <w:t xml:space="preserve"> - </w:t>
            </w:r>
            <w:r>
              <w:rPr>
                <w:rFonts w:cs="Arial" w:ascii="Arial" w:hAnsi="Arial"/>
                <w:i/>
                <w:iCs/>
                <w:color w:val="000000" w:themeColor="text1" w:themeTint="bf"/>
                <w:position w:val="0"/>
                <w:sz w:val="14"/>
                <w:sz w:val="14"/>
                <w:szCs w:val="14"/>
                <w:vertAlign w:val="baseline"/>
              </w:rPr>
              <w:t>Chiusura Anticipazioni tesoriere</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position w:val="0"/>
                <w:sz w:val="14"/>
                <w:sz w:val="14"/>
                <w:szCs w:val="14"/>
                <w:vertAlign w:val="baseline"/>
              </w:rPr>
            </w:pPr>
            <w:r>
              <w:rPr>
                <w:rFonts w:cs="Arial" w:ascii="Arial" w:hAnsi="Arial"/>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vertAlign w:val="baseline"/>
              </w:rPr>
            </w:pPr>
            <w:r>
              <w:rPr>
                <w:rFonts w:eastAsia="Arial" w:cs="Arial" w:ascii="Arial" w:hAnsi="Arial"/>
                <w:color w:val="000000" w:themeColor="text1" w:themeTint="bf"/>
                <w:position w:val="0"/>
                <w:sz w:val="14"/>
                <w:sz w:val="14"/>
                <w:szCs w:val="14"/>
                <w:vertAlign w:val="baseline"/>
              </w:rPr>
              <w:t>5.000.000,00</w:t>
            </w:r>
          </w:p>
        </w:tc>
        <w:tc>
          <w:tcPr>
            <w:tcW w:w="1244"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149"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color w:val="000000"/>
                <w:position w:val="0"/>
                <w:sz w:val="14"/>
                <w:sz w:val="14"/>
                <w:szCs w:val="14"/>
                <w:highlight w:val="none"/>
                <w:shd w:fill="auto" w:val="clear"/>
                <w:vertAlign w:val="baseline"/>
              </w:rPr>
            </w:pPr>
            <w:r>
              <w:rPr>
                <w:rFonts w:eastAsia="Arial" w:cs="Arial" w:ascii="Arial" w:hAnsi="Arial"/>
                <w:color w:val="000000" w:themeColor="text1" w:themeTint="bf"/>
                <w:position w:val="0"/>
                <w:sz w:val="14"/>
                <w:sz w:val="14"/>
                <w:szCs w:val="14"/>
                <w:shd w:fill="auto" w:val="clear"/>
                <w:vertAlign w:val="baseline"/>
              </w:rPr>
              <w:t>0</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 w:ascii="Arial" w:hAnsi="Arial"/>
                <w:color w:val="000000" w:themeColor="text1" w:themeTint="bf"/>
                <w:position w:val="0"/>
                <w:sz w:val="14"/>
                <w:sz w:val="14"/>
                <w:szCs w:val="14"/>
                <w:shd w:fill="auto" w:val="clear"/>
                <w:vertAlign w:val="baseline"/>
              </w:rPr>
              <w:t>0</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 xml:space="preserve">Entrate titolo 9 </w:t>
            </w:r>
            <w:r>
              <w:rPr>
                <w:rFonts w:cs="Arial" w:ascii="Arial" w:hAnsi="Arial"/>
                <w:b/>
                <w:bCs/>
                <w:color w:val="000000" w:themeColor="text1" w:themeTint="bf"/>
                <w:position w:val="0"/>
                <w:sz w:val="14"/>
                <w:sz w:val="14"/>
                <w:szCs w:val="14"/>
                <w:vertAlign w:val="baseline"/>
              </w:rPr>
              <w:t>(U)</w:t>
            </w:r>
            <w:r>
              <w:rPr>
                <w:rFonts w:cs="Arial" w:ascii="Arial" w:hAnsi="Arial"/>
                <w:color w:val="000000" w:themeColor="text1" w:themeTint="bf"/>
                <w:position w:val="0"/>
                <w:sz w:val="14"/>
                <w:sz w:val="14"/>
                <w:szCs w:val="14"/>
                <w:vertAlign w:val="baseline"/>
              </w:rPr>
              <w:t xml:space="preserve"> - </w:t>
            </w:r>
            <w:r>
              <w:rPr>
                <w:rFonts w:cs="Arial" w:ascii="Arial" w:hAnsi="Arial"/>
                <w:i/>
                <w:iCs/>
                <w:color w:val="000000" w:themeColor="text1" w:themeTint="bf"/>
                <w:position w:val="0"/>
                <w:sz w:val="14"/>
                <w:sz w:val="14"/>
                <w:szCs w:val="14"/>
                <w:vertAlign w:val="baseline"/>
              </w:rPr>
              <w:t>Entrate c/terzi e partite di giro</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position w:val="0"/>
                <w:sz w:val="14"/>
                <w:sz w:val="14"/>
                <w:szCs w:val="14"/>
                <w:vertAlign w:val="baseline"/>
              </w:rPr>
            </w:pPr>
            <w:r>
              <w:rPr>
                <w:rFonts w:cs="Arial" w:ascii="Arial" w:hAnsi="Arial"/>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MT" w:hAnsi="ArialMT" w:eastAsia="Arial" w:cs="ArialMT;MS Gothic"/>
                <w:color w:val="000000" w:themeColor="text1" w:themeTint="bf"/>
                <w:position w:val="0"/>
                <w:sz w:val="14"/>
                <w:sz w:val="14"/>
                <w:szCs w:val="14"/>
                <w:vertAlign w:val="baseline"/>
              </w:rPr>
            </w:pPr>
            <w:r>
              <w:rPr>
                <w:rFonts w:eastAsia="Arial" w:cs="ArialMT;MS Gothic" w:ascii="ArialMT" w:hAnsi="ArialMT"/>
                <w:color w:val="000000" w:themeColor="text1" w:themeTint="bf"/>
                <w:position w:val="0"/>
                <w:sz w:val="14"/>
                <w:sz w:val="14"/>
                <w:szCs w:val="14"/>
                <w:vertAlign w:val="baseline"/>
              </w:rPr>
              <w:t>5.165.000,00</w:t>
            </w:r>
          </w:p>
        </w:tc>
        <w:tc>
          <w:tcPr>
            <w:tcW w:w="1244"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MT;MS Gothic" w:ascii="ArialMT" w:hAnsi="ArialMT"/>
                <w:color w:val="000000" w:themeColor="text1" w:themeTint="bf"/>
                <w:position w:val="0"/>
                <w:sz w:val="14"/>
                <w:sz w:val="14"/>
                <w:szCs w:val="14"/>
                <w:shd w:fill="auto" w:val="clear"/>
                <w:vertAlign w:val="baseline"/>
              </w:rPr>
              <w:t>4.033.914,46</w:t>
            </w:r>
          </w:p>
        </w:tc>
        <w:tc>
          <w:tcPr>
            <w:tcW w:w="1149"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MT;MS Gothic" w:ascii="ArialMT" w:hAnsi="ArialMT"/>
                <w:color w:val="000000" w:themeColor="text1" w:themeTint="bf"/>
                <w:position w:val="0"/>
                <w:sz w:val="14"/>
                <w:sz w:val="14"/>
                <w:szCs w:val="14"/>
                <w:shd w:fill="auto" w:val="clear"/>
                <w:vertAlign w:val="baseline"/>
              </w:rPr>
              <w:t>16.799,32</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MT;MS Gothic" w:ascii="ArialMT" w:hAnsi="ArialMT"/>
                <w:color w:val="000000" w:themeColor="text1" w:themeTint="bf"/>
                <w:position w:val="0"/>
                <w:sz w:val="14"/>
                <w:sz w:val="14"/>
                <w:szCs w:val="14"/>
                <w:shd w:fill="auto" w:val="clear"/>
                <w:vertAlign w:val="baseline"/>
              </w:rPr>
              <w:t>4.050.713,78</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 xml:space="preserve">Spese titolo 7 </w:t>
            </w:r>
            <w:r>
              <w:rPr>
                <w:rFonts w:cs="Arial" w:ascii="Arial" w:hAnsi="Arial"/>
                <w:b/>
                <w:bCs/>
                <w:color w:val="000000" w:themeColor="text1" w:themeTint="bf"/>
                <w:position w:val="0"/>
                <w:sz w:val="14"/>
                <w:sz w:val="14"/>
                <w:szCs w:val="14"/>
                <w:vertAlign w:val="baseline"/>
              </w:rPr>
              <w:t>(V)</w:t>
            </w:r>
            <w:r>
              <w:rPr>
                <w:rFonts w:cs="Arial" w:ascii="Arial" w:hAnsi="Arial"/>
                <w:color w:val="000000" w:themeColor="text1" w:themeTint="bf"/>
                <w:position w:val="0"/>
                <w:sz w:val="14"/>
                <w:sz w:val="14"/>
                <w:szCs w:val="14"/>
                <w:vertAlign w:val="baseline"/>
              </w:rPr>
              <w:t xml:space="preserve"> - </w:t>
            </w:r>
            <w:r>
              <w:rPr>
                <w:rFonts w:cs="Arial" w:ascii="Arial" w:hAnsi="Arial"/>
                <w:i/>
                <w:iCs/>
                <w:color w:val="000000" w:themeColor="text1" w:themeTint="bf"/>
                <w:position w:val="0"/>
                <w:sz w:val="14"/>
                <w:sz w:val="14"/>
                <w:szCs w:val="14"/>
                <w:vertAlign w:val="baseline"/>
              </w:rPr>
              <w:t>Uscite c/terzi e partite di giro</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position w:val="0"/>
                <w:sz w:val="14"/>
                <w:sz w:val="14"/>
                <w:szCs w:val="14"/>
                <w:vertAlign w:val="baseline"/>
              </w:rPr>
            </w:pPr>
            <w:r>
              <w:rPr>
                <w:rFonts w:cs="Arial" w:ascii="Arial" w:hAnsi="Arial"/>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MT" w:hAnsi="ArialMT" w:eastAsia="Arial" w:cs="ArialMT;MS Gothic"/>
                <w:color w:val="000000" w:themeColor="text1" w:themeTint="bf"/>
                <w:position w:val="0"/>
                <w:sz w:val="14"/>
                <w:sz w:val="14"/>
                <w:szCs w:val="14"/>
                <w:vertAlign w:val="baseline"/>
              </w:rPr>
            </w:pPr>
            <w:r>
              <w:rPr>
                <w:rFonts w:eastAsia="Arial" w:cs="ArialMT;MS Gothic" w:ascii="ArialMT" w:hAnsi="ArialMT"/>
                <w:color w:val="000000" w:themeColor="text1" w:themeTint="bf"/>
                <w:position w:val="0"/>
                <w:sz w:val="14"/>
                <w:sz w:val="14"/>
                <w:szCs w:val="14"/>
                <w:vertAlign w:val="baseline"/>
              </w:rPr>
              <w:t>5.452.814,46</w:t>
            </w:r>
          </w:p>
        </w:tc>
        <w:tc>
          <w:tcPr>
            <w:tcW w:w="1244"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MT;MS Gothic" w:ascii="ArialMT" w:hAnsi="ArialMT"/>
                <w:color w:val="000000" w:themeColor="text1" w:themeTint="bf"/>
                <w:position w:val="0"/>
                <w:sz w:val="14"/>
                <w:sz w:val="14"/>
                <w:szCs w:val="14"/>
                <w:shd w:fill="auto" w:val="clear"/>
                <w:vertAlign w:val="baseline"/>
              </w:rPr>
              <w:t>3.824.195,84</w:t>
            </w:r>
          </w:p>
        </w:tc>
        <w:tc>
          <w:tcPr>
            <w:tcW w:w="1149"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MT;MS Gothic" w:ascii="ArialMT" w:hAnsi="ArialMT"/>
                <w:color w:val="000000" w:themeColor="text1" w:themeTint="bf"/>
                <w:position w:val="0"/>
                <w:sz w:val="14"/>
                <w:sz w:val="14"/>
                <w:szCs w:val="14"/>
                <w:shd w:fill="auto" w:val="clear"/>
                <w:vertAlign w:val="baseline"/>
              </w:rPr>
              <w:t>515.801,54</w:t>
            </w:r>
          </w:p>
        </w:tc>
        <w:tc>
          <w:tcPr>
            <w:tcW w:w="1312"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right"/>
              <w:textAlignment w:val="auto"/>
              <w:rPr>
                <w:highlight w:val="none"/>
                <w:shd w:fill="auto" w:val="clear"/>
              </w:rPr>
            </w:pPr>
            <w:r>
              <w:rPr>
                <w:rFonts w:eastAsia="Arial" w:cs="ArialMT;MS Gothic" w:ascii="ArialMT" w:hAnsi="ArialMT"/>
                <w:color w:val="000000" w:themeColor="text1" w:themeTint="bf"/>
                <w:position w:val="0"/>
                <w:sz w:val="14"/>
                <w:sz w:val="14"/>
                <w:szCs w:val="14"/>
                <w:shd w:fill="auto" w:val="clear"/>
                <w:vertAlign w:val="baseline"/>
              </w:rPr>
              <w:t>4.339.997,38</w:t>
            </w:r>
          </w:p>
        </w:tc>
      </w:tr>
      <w:tr>
        <w:trPr>
          <w:trHeight w:val="292" w:hRule="atLeast"/>
        </w:trPr>
        <w:tc>
          <w:tcPr>
            <w:tcW w:w="3759" w:type="dxa"/>
            <w:tcBorders>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textAlignment w:val="auto"/>
              <w:rPr>
                <w:rFonts w:ascii="Arial" w:hAnsi="Arial" w:cs="Arial"/>
                <w:b/>
                <w:b/>
                <w:bCs/>
                <w:color w:val="000000"/>
                <w:position w:val="0"/>
                <w:sz w:val="14"/>
                <w:sz w:val="14"/>
                <w:szCs w:val="14"/>
                <w:vertAlign w:val="baseline"/>
              </w:rPr>
            </w:pPr>
            <w:r>
              <w:rPr>
                <w:rFonts w:cs="Arial" w:ascii="Arial" w:hAnsi="Arial"/>
                <w:b/>
                <w:bCs/>
                <w:color w:val="000000" w:themeColor="text1" w:themeTint="bf"/>
                <w:position w:val="0"/>
                <w:sz w:val="14"/>
                <w:sz w:val="14"/>
                <w:szCs w:val="14"/>
                <w:vertAlign w:val="baseline"/>
              </w:rPr>
              <w:t>Fondo di cassa finale Z (Z=A+H+Q+L1-R+S-T+U-V)</w:t>
            </w:r>
          </w:p>
        </w:tc>
        <w:tc>
          <w:tcPr>
            <w:tcW w:w="420" w:type="dxa"/>
            <w:tcBorders>
              <w:bottom w:val="single" w:sz="4" w:space="0" w:color="000000"/>
              <w:right w:val="single" w:sz="4" w:space="0" w:color="000000"/>
            </w:tcBorders>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themeColor="text1" w:themeTint="bf"/>
                <w:position w:val="0"/>
                <w:sz w:val="14"/>
                <w:sz w:val="14"/>
                <w:szCs w:val="14"/>
                <w:vertAlign w:val="baseline"/>
              </w:rPr>
              <w:t>=</w:t>
            </w:r>
          </w:p>
        </w:tc>
        <w:tc>
          <w:tcPr>
            <w:tcW w:w="1595"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b/>
                <w:b/>
                <w:bCs/>
                <w:color w:val="000000" w:themeColor="text1" w:themeTint="bf"/>
                <w:position w:val="0"/>
                <w:sz w:val="14"/>
                <w:sz w:val="14"/>
                <w:szCs w:val="14"/>
                <w:vertAlign w:val="baseline"/>
              </w:rPr>
            </w:pPr>
            <w:r>
              <w:rPr>
                <w:rFonts w:eastAsia="Arial" w:cs="Arial" w:ascii="Arial" w:hAnsi="Arial"/>
                <w:b/>
                <w:bCs/>
                <w:color w:val="000000" w:themeColor="text1" w:themeTint="bf"/>
                <w:position w:val="0"/>
                <w:sz w:val="14"/>
                <w:sz w:val="14"/>
                <w:szCs w:val="14"/>
                <w:vertAlign w:val="baseline"/>
              </w:rPr>
              <w:t>5.111.083,36</w:t>
            </w:r>
          </w:p>
        </w:tc>
        <w:tc>
          <w:tcPr>
            <w:tcW w:w="1244"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pPr>
            <w:r>
              <w:rPr>
                <w:rFonts w:cs="Arial" w:ascii="Arial" w:hAnsi="Arial"/>
                <w:b/>
                <w:bCs/>
                <w:color w:val="000000" w:themeColor="text1" w:themeTint="bf"/>
                <w:position w:val="0"/>
                <w:sz w:val="14"/>
                <w:sz w:val="14"/>
                <w:szCs w:val="14"/>
                <w:vertAlign w:val="baseline"/>
              </w:rPr>
              <w:t>4.244.591,84</w:t>
            </w:r>
          </w:p>
        </w:tc>
        <w:tc>
          <w:tcPr>
            <w:tcW w:w="1149"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rFonts w:ascii="Arial" w:hAnsi="Arial" w:cs="Arial"/>
                <w:b/>
                <w:b/>
                <w:bCs/>
                <w:color w:val="000000" w:themeColor="text1" w:themeTint="bf"/>
                <w:position w:val="0"/>
                <w:sz w:val="14"/>
                <w:sz w:val="14"/>
                <w:szCs w:val="14"/>
                <w:vertAlign w:val="baseline"/>
              </w:rPr>
            </w:pPr>
            <w:r>
              <w:rPr>
                <w:rFonts w:eastAsia="Arial" w:cs="Arial" w:ascii="Arial" w:hAnsi="Arial"/>
                <w:b/>
                <w:bCs/>
                <w:color w:val="000000" w:themeColor="text1" w:themeTint="bf"/>
                <w:position w:val="0"/>
                <w:sz w:val="14"/>
                <w:sz w:val="14"/>
                <w:szCs w:val="14"/>
                <w:vertAlign w:val="baseline"/>
              </w:rPr>
              <w:t>4.466.942,71</w:t>
            </w:r>
          </w:p>
        </w:tc>
        <w:tc>
          <w:tcPr>
            <w:tcW w:w="1312" w:type="dxa"/>
            <w:tcBorders>
              <w:bottom w:val="single" w:sz="4" w:space="0" w:color="000000"/>
              <w:right w:val="single" w:sz="4" w:space="0" w:color="000000"/>
            </w:tcBorders>
            <w:shd w:fill="FFFFFF" w:val="clear"/>
            <w:vAlign w:val="center"/>
          </w:tcPr>
          <w:p>
            <w:pPr>
              <w:pStyle w:val="Normal"/>
              <w:widowControl w:val="false"/>
              <w:suppressAutoHyphens w:val="false"/>
              <w:spacing w:lineRule="auto" w:line="240" w:before="0" w:after="200"/>
              <w:ind w:left="0" w:right="0" w:hanging="0"/>
              <w:jc w:val="right"/>
              <w:textAlignment w:val="auto"/>
              <w:rPr>
                <w:highlight w:val="none"/>
                <w:shd w:fill="81D41A" w:val="clear"/>
              </w:rPr>
            </w:pPr>
            <w:r>
              <w:rPr>
                <w:rFonts w:eastAsia="Arial" w:cs="Arial" w:ascii="Arial" w:hAnsi="Arial"/>
                <w:b/>
                <w:bCs/>
                <w:color w:val="000000" w:themeColor="text1" w:themeTint="bf"/>
                <w:position w:val="0"/>
                <w:sz w:val="14"/>
                <w:sz w:val="14"/>
                <w:szCs w:val="14"/>
                <w:shd w:fill="81D41A" w:val="clear"/>
                <w:vertAlign w:val="baseline"/>
              </w:rPr>
              <w:t>8.711.534,55</w:t>
            </w:r>
          </w:p>
        </w:tc>
      </w:tr>
      <w:tr>
        <w:trPr>
          <w:trHeight w:val="343" w:hRule="atLeast"/>
        </w:trPr>
        <w:tc>
          <w:tcPr>
            <w:tcW w:w="3759" w:type="dxa"/>
            <w:tcBorders/>
            <w:vAlign w:val="center"/>
          </w:tcPr>
          <w:p>
            <w:pPr>
              <w:pStyle w:val="Normal"/>
              <w:widowControl w:val="false"/>
              <w:suppressAutoHyphens w:val="false"/>
              <w:spacing w:lineRule="auto" w:line="240" w:before="0" w:after="200"/>
              <w:ind w:left="0" w:right="0" w:hanging="0"/>
              <w:textAlignment w:val="auto"/>
              <w:rPr/>
            </w:pPr>
            <w:r>
              <w:rPr>
                <w:rFonts w:cs="Arial" w:ascii="Arial" w:hAnsi="Arial"/>
                <w:color w:val="000000" w:themeColor="text1" w:themeTint="bf"/>
                <w:position w:val="0"/>
                <w:sz w:val="14"/>
                <w:sz w:val="14"/>
                <w:szCs w:val="14"/>
                <w:vertAlign w:val="baseline"/>
              </w:rPr>
              <w:t>* Trattasi di quota di rimborso annua</w:t>
              <w:br/>
              <w:t>** Il totale comprende Competenza + Residui</w:t>
            </w:r>
          </w:p>
        </w:tc>
        <w:tc>
          <w:tcPr>
            <w:tcW w:w="420" w:type="dxa"/>
            <w:tcBorders/>
            <w:vAlign w:val="center"/>
          </w:tcPr>
          <w:p>
            <w:pPr>
              <w:pStyle w:val="Normal"/>
              <w:widowControl w:val="false"/>
              <w:suppressAutoHyphens w:val="false"/>
              <w:snapToGrid w:val="false"/>
              <w:spacing w:lineRule="auto" w:line="240" w:before="0" w:after="200"/>
              <w:ind w:left="0" w:right="0" w:hanging="0"/>
              <w:textAlignment w:val="auto"/>
              <w:rPr>
                <w:rFonts w:ascii="Arial" w:hAnsi="Arial" w:cs="Arial"/>
                <w:color w:val="000000"/>
                <w:position w:val="0"/>
                <w:sz w:val="14"/>
                <w:sz w:val="14"/>
                <w:szCs w:val="14"/>
                <w:vertAlign w:val="baseline"/>
              </w:rPr>
            </w:pPr>
            <w:r>
              <w:rPr>
                <w:rFonts w:cs="Arial" w:ascii="Arial" w:hAnsi="Arial"/>
                <w:color w:val="000000"/>
                <w:position w:val="0"/>
                <w:sz w:val="14"/>
                <w:sz w:val="14"/>
                <w:szCs w:val="14"/>
                <w:vertAlign w:val="baseline"/>
              </w:rPr>
            </w:r>
          </w:p>
        </w:tc>
        <w:tc>
          <w:tcPr>
            <w:tcW w:w="1595" w:type="dxa"/>
            <w:tcBorders/>
            <w:shd w:fill="FFFFFF" w:val="clear"/>
            <w:vAlign w:val="center"/>
          </w:tcPr>
          <w:p>
            <w:pPr>
              <w:pStyle w:val="Normal"/>
              <w:widowControl w:val="false"/>
              <w:suppressAutoHyphens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position w:val="0"/>
                <w:sz w:val="14"/>
                <w:sz w:val="14"/>
                <w:szCs w:val="14"/>
                <w:vertAlign w:val="baseline"/>
              </w:rPr>
            </w:r>
          </w:p>
        </w:tc>
        <w:tc>
          <w:tcPr>
            <w:tcW w:w="1244" w:type="dxa"/>
            <w:tcBorders/>
            <w:vAlign w:val="bottom"/>
          </w:tcPr>
          <w:p>
            <w:pPr>
              <w:pStyle w:val="Normal"/>
              <w:widowControl w:val="false"/>
              <w:suppressAutoHyphens w:val="false"/>
              <w:snapToGrid w:val="false"/>
              <w:spacing w:lineRule="auto" w:line="240" w:before="0" w:after="200"/>
              <w:ind w:left="0" w:right="0" w:hanging="0"/>
              <w:jc w:val="center"/>
              <w:textAlignment w:val="auto"/>
              <w:rPr>
                <w:rFonts w:ascii="Arial" w:hAnsi="Arial" w:cs="Arial"/>
                <w:color w:val="000000"/>
                <w:position w:val="0"/>
                <w:sz w:val="14"/>
                <w:sz w:val="14"/>
                <w:szCs w:val="14"/>
                <w:vertAlign w:val="baseline"/>
              </w:rPr>
            </w:pPr>
            <w:r>
              <w:rPr>
                <w:rFonts w:cs="Arial" w:ascii="Arial" w:hAnsi="Arial"/>
                <w:color w:val="000000"/>
                <w:position w:val="0"/>
                <w:sz w:val="14"/>
                <w:sz w:val="14"/>
                <w:szCs w:val="14"/>
                <w:vertAlign w:val="baseline"/>
              </w:rPr>
            </w:r>
          </w:p>
        </w:tc>
        <w:tc>
          <w:tcPr>
            <w:tcW w:w="1149" w:type="dxa"/>
            <w:tcBorders/>
            <w:vAlign w:val="bottom"/>
          </w:tcPr>
          <w:p>
            <w:pPr>
              <w:pStyle w:val="Normal"/>
              <w:widowControl w:val="false"/>
              <w:suppressAutoHyphens w:val="false"/>
              <w:snapToGrid w:val="false"/>
              <w:spacing w:lineRule="auto" w:line="240" w:before="0" w:after="200"/>
              <w:ind w:left="0" w:right="0" w:hanging="0"/>
              <w:textAlignment w:val="auto"/>
              <w:rPr>
                <w:rFonts w:ascii="Arial" w:hAnsi="Arial" w:cs="Arial"/>
                <w:color w:val="000000"/>
                <w:position w:val="0"/>
                <w:sz w:val="20"/>
                <w:sz w:val="20"/>
                <w:szCs w:val="20"/>
                <w:vertAlign w:val="baseline"/>
              </w:rPr>
            </w:pPr>
            <w:r>
              <w:rPr>
                <w:rFonts w:cs="Arial" w:ascii="Arial" w:hAnsi="Arial"/>
                <w:color w:val="000000"/>
                <w:position w:val="0"/>
                <w:sz w:val="20"/>
                <w:sz w:val="20"/>
                <w:szCs w:val="20"/>
                <w:vertAlign w:val="baseline"/>
              </w:rPr>
            </w:r>
          </w:p>
        </w:tc>
        <w:tc>
          <w:tcPr>
            <w:tcW w:w="1312" w:type="dxa"/>
            <w:tcBorders/>
            <w:vAlign w:val="bottom"/>
          </w:tcPr>
          <w:p>
            <w:pPr>
              <w:pStyle w:val="Normal"/>
              <w:widowControl w:val="false"/>
              <w:suppressAutoHyphens w:val="false"/>
              <w:snapToGrid w:val="false"/>
              <w:spacing w:lineRule="auto" w:line="240" w:before="0" w:after="200"/>
              <w:ind w:left="0" w:right="0" w:hanging="0"/>
              <w:textAlignment w:val="auto"/>
              <w:rPr>
                <w:position w:val="0"/>
                <w:sz w:val="20"/>
                <w:sz w:val="20"/>
                <w:szCs w:val="20"/>
                <w:vertAlign w:val="baseline"/>
              </w:rPr>
            </w:pPr>
            <w:r>
              <w:rPr>
                <w:position w:val="0"/>
                <w:sz w:val="20"/>
                <w:sz w:val="20"/>
                <w:szCs w:val="20"/>
                <w:vertAlign w:val="baseline"/>
              </w:rPr>
            </w:r>
          </w:p>
        </w:tc>
      </w:tr>
    </w:tbl>
    <w:p>
      <w:pPr>
        <w:pStyle w:val="Titolo2"/>
        <w:numPr>
          <w:ilvl w:val="1"/>
          <w:numId w:val="77"/>
        </w:numPr>
        <w:ind w:left="851" w:hanging="491"/>
        <w:rPr/>
      </w:pPr>
      <w:bookmarkStart w:id="42" w:name="_Toc192666978"/>
      <w:r>
        <w:rPr/>
        <w:t>Tempestività pagamenti</w:t>
      </w:r>
      <w:bookmarkEnd w:id="42"/>
      <w:r>
        <w:rPr/>
        <w:t xml:space="preserve"> </w:t>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t xml:space="preserve">L'Organo di revisione ritiene che le previsioni di cassa del bilancio 2024 </w:t>
      </w:r>
      <w:r>
        <w:rPr>
          <w:rFonts w:eastAsia="Times New Roman" w:cs="Arial" w:ascii="Arial" w:hAnsi="Arial"/>
          <w:b/>
          <w:bCs/>
          <w:i/>
          <w:iCs/>
          <w:color w:val="auto"/>
          <w:szCs w:val="22"/>
          <w:lang w:eastAsia="it-IT"/>
        </w:rPr>
        <w:t xml:space="preserve">abbiano </w:t>
      </w:r>
      <w:r>
        <w:rPr>
          <w:rFonts w:eastAsia="Times New Roman" w:cs="Arial" w:ascii="Arial" w:hAnsi="Arial"/>
          <w:color w:val="auto"/>
          <w:szCs w:val="22"/>
          <w:lang w:eastAsia="it-IT"/>
        </w:rPr>
        <w:t xml:space="preserve">rispecchiato gli effettivi andamenti delle entrate e delle spese e </w:t>
      </w:r>
      <w:r>
        <w:rPr>
          <w:rFonts w:eastAsia="Times New Roman" w:cs="Arial" w:ascii="Arial" w:hAnsi="Arial"/>
          <w:b/>
          <w:bCs/>
          <w:i/>
          <w:iCs/>
          <w:color w:val="auto"/>
          <w:szCs w:val="22"/>
          <w:lang w:eastAsia="it-IT"/>
        </w:rPr>
        <w:t xml:space="preserve">non siano state </w:t>
      </w:r>
      <w:r>
        <w:rPr>
          <w:rFonts w:eastAsia="Times New Roman" w:cs="Arial" w:ascii="Arial" w:hAnsi="Arial"/>
          <w:color w:val="auto"/>
          <w:szCs w:val="22"/>
          <w:lang w:eastAsia="it-IT"/>
        </w:rPr>
        <w:t>effettuate</w:t>
      </w:r>
      <w:r>
        <w:rPr>
          <w:rFonts w:eastAsia="Times New Roman" w:cs="Arial" w:ascii="Arial" w:hAnsi="Arial"/>
          <w:b/>
          <w:bCs/>
          <w:i/>
          <w:iCs/>
          <w:color w:val="auto"/>
          <w:szCs w:val="22"/>
          <w:lang w:eastAsia="it-IT"/>
        </w:rPr>
        <w:t xml:space="preserve"> </w:t>
      </w:r>
      <w:r>
        <w:rPr>
          <w:rFonts w:eastAsia="Times New Roman" w:cs="Arial" w:ascii="Arial" w:hAnsi="Arial"/>
          <w:color w:val="auto"/>
          <w:szCs w:val="22"/>
          <w:lang w:eastAsia="it-IT"/>
        </w:rPr>
        <w:t>sovrastime nella previsione della riscossione di entrate con il rischio di consentire autorizzazioni di spesa per le quali si genereranno ritardi nei pagamenti e formazione di debiti pregressi in violazione dell'art. 183, co. 8, del TUEL.</w:t>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t>La cassa finale al 31.12.2024 risulta essere di € 3.600.451,19 rispetto alle previsioni definitive.</w:t>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spacing w:lineRule="auto" w:line="240" w:before="0" w:after="0"/>
        <w:rPr/>
      </w:pPr>
      <w:r>
        <w:rPr>
          <w:rFonts w:eastAsia="Times New Roman" w:cs="Arial" w:ascii="Arial" w:hAnsi="Arial"/>
          <w:color w:val="auto"/>
          <w:szCs w:val="22"/>
          <w:lang w:eastAsia="it-IT"/>
        </w:rPr>
        <w:t>L’Organo di revisione ha verificato che l</w:t>
      </w:r>
      <w:r>
        <w:rPr>
          <w:rFonts w:eastAsia="Times New Roman" w:cs="Arial" w:ascii="Arial" w:hAnsi="Arial"/>
          <w:color w:val="auto"/>
          <w:lang w:eastAsia="it-IT"/>
        </w:rPr>
        <w:t xml:space="preserve">’Ente </w:t>
      </w:r>
      <w:r>
        <w:rPr>
          <w:rFonts w:eastAsia="Times New Roman" w:cs="Arial" w:ascii="Arial" w:hAnsi="Arial"/>
          <w:b/>
          <w:bCs/>
          <w:i/>
          <w:iCs/>
          <w:color w:val="auto"/>
          <w:lang w:eastAsia="it-IT"/>
        </w:rPr>
        <w:t>ha</w:t>
      </w:r>
      <w:r>
        <w:rPr>
          <w:rFonts w:eastAsia="Times New Roman" w:cs="Arial" w:ascii="Arial" w:hAnsi="Arial"/>
          <w:color w:val="auto"/>
          <w:lang w:eastAsia="it-IT"/>
        </w:rPr>
        <w:t xml:space="preserve"> alimentato correttamente la piattaforma dei crediti commerciali (PC</w:t>
      </w:r>
      <w:r>
        <w:rPr>
          <w:rFonts w:eastAsia="Times New Roman" w:cs="Arial" w:ascii="Arial" w:hAnsi="Arial"/>
          <w:b w:val="false"/>
          <w:bCs w:val="false"/>
          <w:color w:val="auto"/>
          <w:lang w:eastAsia="it-IT"/>
        </w:rPr>
        <w:t>C)</w:t>
      </w:r>
      <w:r>
        <w:rPr>
          <w:rFonts w:eastAsia="Times New Roman" w:cs="Arial" w:ascii="Arial" w:hAnsi="Arial"/>
          <w:b w:val="false"/>
          <w:bCs w:val="false"/>
          <w:color w:val="auto"/>
          <w:szCs w:val="22"/>
          <w:lang w:eastAsia="it-IT"/>
        </w:rPr>
        <w:t>.</w:t>
      </w:r>
    </w:p>
    <w:p>
      <w:pPr>
        <w:pStyle w:val="Normal"/>
        <w:spacing w:lineRule="auto" w:line="240" w:before="0" w:after="0"/>
        <w:rPr>
          <w:rFonts w:ascii="Arial" w:hAnsi="Arial" w:eastAsia="Times New Roman" w:cs="Arial"/>
          <w:b w:val="false"/>
          <w:b w:val="false"/>
          <w:i w:val="false"/>
          <w:i w:val="false"/>
          <w:strike w:val="false"/>
          <w:dstrike w:val="false"/>
          <w:outline w:val="false"/>
          <w:shadow w:val="false"/>
          <w:color w:val="auto"/>
          <w:sz w:val="24"/>
          <w:szCs w:val="22"/>
          <w:u w:val="none"/>
          <w:em w:val="none"/>
          <w:lang w:eastAsia="it-IT"/>
        </w:rPr>
      </w:pPr>
      <w:r>
        <w:rPr>
          <w:rFonts w:eastAsia="Times New Roman" w:cs="Arial" w:ascii="Arial" w:hAnsi="Arial"/>
          <w:b w:val="false"/>
          <w:i w:val="false"/>
          <w:strike w:val="false"/>
          <w:dstrike w:val="false"/>
          <w:outline w:val="false"/>
          <w:shadow w:val="false"/>
          <w:color w:val="auto"/>
          <w:sz w:val="24"/>
          <w:szCs w:val="22"/>
          <w:u w:val="none"/>
          <w:em w:val="none"/>
          <w:lang w:eastAsia="it-IT"/>
        </w:rPr>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t xml:space="preserve">-L’Ente </w:t>
      </w:r>
      <w:r>
        <w:rPr>
          <w:rFonts w:eastAsia="Times New Roman" w:cs="Arial" w:ascii="Arial" w:hAnsi="Arial"/>
          <w:b/>
          <w:i/>
          <w:color w:val="auto"/>
          <w:szCs w:val="22"/>
          <w:lang w:eastAsia="it-IT"/>
        </w:rPr>
        <w:t xml:space="preserve">ha </w:t>
      </w:r>
      <w:r>
        <w:rPr>
          <w:rFonts w:eastAsia="Times New Roman" w:cs="Arial" w:ascii="Arial" w:hAnsi="Arial"/>
          <w:color w:val="auto"/>
          <w:szCs w:val="22"/>
          <w:lang w:eastAsia="it-IT"/>
        </w:rPr>
        <w:t>adottato le misure organizzative per garantire il tempestivo pagamento delle somme dovute per somministrazioni, forniture ed appalti, anche in relazione all’obbligo previsto dall’art. 183, comma 8 del Tuel;</w:t>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t>L’Organo di revisione ha verificato:</w:t>
      </w:r>
    </w:p>
    <w:p>
      <w:pPr>
        <w:pStyle w:val="Normal"/>
        <w:spacing w:lineRule="auto" w:line="240" w:before="0" w:after="0"/>
        <w:rPr>
          <w:rFonts w:ascii="Arial" w:hAnsi="Arial" w:eastAsia="Times New Roman" w:cs="Arial"/>
          <w:lang w:eastAsia="it-IT"/>
        </w:rPr>
      </w:pPr>
      <w:r>
        <w:rPr>
          <w:rFonts w:eastAsia="Times New Roman" w:cs="Arial" w:ascii="Arial" w:hAnsi="Arial"/>
          <w:color w:val="auto"/>
          <w:szCs w:val="22"/>
          <w:lang w:eastAsia="it-IT"/>
        </w:rPr>
        <w:t xml:space="preserve">- che l’Ente, ai sensi di quanto previsto dal comma 2 dell’art. 4-bis del decreto-legge 24 febbraio 2023, n. 13, convertito, con modificazioni, dalla legge 21 aprile 2023, n. 41 </w:t>
      </w:r>
      <w:r>
        <w:rPr>
          <w:rFonts w:eastAsia="Times New Roman" w:cs="Arial" w:ascii="Arial" w:hAnsi="Arial"/>
          <w:b/>
          <w:bCs/>
          <w:i/>
          <w:iCs/>
          <w:color w:val="auto"/>
          <w:szCs w:val="22"/>
          <w:lang w:eastAsia="it-IT"/>
        </w:rPr>
        <w:t>ha</w:t>
      </w:r>
      <w:r>
        <w:rPr>
          <w:rFonts w:eastAsia="Times New Roman" w:cs="Arial" w:ascii="Arial" w:hAnsi="Arial"/>
          <w:color w:val="auto"/>
          <w:szCs w:val="22"/>
          <w:lang w:eastAsia="it-IT"/>
        </w:rPr>
        <w:t xml:space="preserve"> assegnato gli obiettivi annuali sui termini di pagamento delle fatture commerciali a tutti i  responsabili di Area, tali per cui in caso di non rispetto dei tempi di pagamento sia prevista l’applicazione di una penalità sulla retribuzione di risultato.</w:t>
      </w:r>
    </w:p>
    <w:p>
      <w:pPr>
        <w:pStyle w:val="Normal"/>
        <w:spacing w:lineRule="auto" w:line="240" w:before="0" w:after="0"/>
        <w:rPr>
          <w:rFonts w:ascii="Arial" w:hAnsi="Arial" w:eastAsia="Times New Roman" w:cs="Arial"/>
          <w:lang w:eastAsia="it-IT"/>
        </w:rPr>
      </w:pPr>
      <w:r>
        <w:rPr>
          <w:rFonts w:eastAsia="Times New Roman" w:cs="Arial" w:ascii="Arial" w:hAnsi="Arial"/>
          <w:lang w:eastAsia="it-IT"/>
        </w:rPr>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t xml:space="preserve">- l’Ente, ai sensi dell’art. 41, comma 1, D.L. n. 66/2014, </w:t>
      </w:r>
      <w:r>
        <w:rPr>
          <w:rFonts w:eastAsia="Times New Roman" w:cs="Arial" w:ascii="Arial" w:hAnsi="Arial"/>
          <w:b/>
          <w:bCs/>
          <w:i/>
          <w:iCs/>
          <w:color w:val="auto"/>
          <w:szCs w:val="22"/>
          <w:lang w:eastAsia="it-IT"/>
        </w:rPr>
        <w:t>ha allegato</w:t>
      </w:r>
      <w:r>
        <w:rPr>
          <w:rFonts w:eastAsia="Times New Roman" w:cs="Arial" w:ascii="Arial" w:hAnsi="Arial"/>
          <w:color w:val="auto"/>
          <w:szCs w:val="22"/>
          <w:lang w:eastAsia="it-IT"/>
        </w:rPr>
        <w:t xml:space="preserve"> al rendiconto un prospetto attestante l'importo dei pagamenti relativi a transazioni commerciali effettuati dopo la scadenza dei termini previsti dal d.lgs. n. 231/2002, e l'indicatore annuale di tempestività dei pagamenti di cui all'art. 33 del d.lgs. n. 33/2013 nonché l'ammontare complessivo dei debiti e il numero delle imprese creditrici.</w:t>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t>- Al 31.12.2024 il tempo medio di ritardo dei pagamenti per i debiti commerciali risulta essere di gg. -16 (indicatore negativo che evidenzia pagamenti anticipati rispetto alla scadenza).</w:t>
      </w:r>
    </w:p>
    <w:p>
      <w:pPr>
        <w:pStyle w:val="Titolo2"/>
        <w:numPr>
          <w:ilvl w:val="1"/>
          <w:numId w:val="78"/>
        </w:numPr>
        <w:ind w:left="851" w:hanging="491"/>
        <w:rPr/>
      </w:pPr>
      <w:bookmarkStart w:id="43" w:name="_Toc192666979"/>
      <w:bookmarkStart w:id="44" w:name="_Toc130060187"/>
      <w:bookmarkStart w:id="45" w:name="_Toc130056248"/>
      <w:bookmarkStart w:id="46" w:name="Copia_di__Toc379377455_1"/>
      <w:bookmarkEnd w:id="46"/>
      <w:r>
        <w:rPr/>
        <w:t>Analisi degli accantonamenti</w:t>
      </w:r>
      <w:bookmarkEnd w:id="43"/>
      <w:bookmarkEnd w:id="44"/>
      <w:bookmarkEnd w:id="45"/>
    </w:p>
    <w:p>
      <w:pPr>
        <w:pStyle w:val="Titolo3"/>
        <w:numPr>
          <w:ilvl w:val="2"/>
          <w:numId w:val="79"/>
        </w:numPr>
        <w:ind w:left="1484" w:hanging="633"/>
        <w:rPr/>
      </w:pPr>
      <w:bookmarkStart w:id="47" w:name="_Toc127770145"/>
      <w:bookmarkStart w:id="48" w:name="_Toc98417446"/>
      <w:bookmarkStart w:id="49" w:name="_Toc192666980"/>
      <w:bookmarkStart w:id="50" w:name="_Toc130056249"/>
      <w:r>
        <w:rPr/>
        <w:t>Fondo crediti di dubbia esigibilità</w:t>
      </w:r>
      <w:bookmarkEnd w:id="47"/>
      <w:bookmarkEnd w:id="48"/>
      <w:bookmarkEnd w:id="49"/>
      <w:bookmarkEnd w:id="50"/>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t>L’Organo di revisione ha verificato la regolarità della metodologia di calcolo del fondo crediti di dubbia esigibilità.</w:t>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spacing w:lineRule="auto" w:line="240" w:before="0" w:after="0"/>
        <w:rPr>
          <w:rFonts w:ascii="Arial" w:hAnsi="Arial" w:eastAsia="Times New Roman" w:cs="Arial"/>
          <w:color w:val="00B0F0"/>
          <w:szCs w:val="22"/>
          <w:lang w:eastAsia="it-IT"/>
        </w:rPr>
      </w:pPr>
      <w:r>
        <w:rPr>
          <w:rFonts w:eastAsia="Times New Roman" w:cs="Arial" w:ascii="Arial" w:hAnsi="Arial"/>
          <w:color w:val="00B0F0"/>
          <w:szCs w:val="22"/>
          <w:lang w:eastAsia="it-IT"/>
        </w:rPr>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t>- l’Ente ha provveduto all’accantonamento di una quota del risultato di amministrazione al fondo crediti di dubbia esigibilità come richiesto al punto 3.3 del principio contabile applicato All. 4.2. al D. Lgs.118/2011 e smi;</w:t>
      </w:r>
    </w:p>
    <w:p>
      <w:pPr>
        <w:pStyle w:val="Normal"/>
        <w:spacing w:lineRule="auto" w:line="240" w:before="0" w:after="0"/>
        <w:rPr>
          <w:rFonts w:ascii="Arial" w:hAnsi="Arial" w:eastAsia="Times New Roman" w:cs="Arial"/>
          <w:i/>
          <w:i/>
          <w:iCs/>
          <w:color w:val="00B0F0"/>
          <w:szCs w:val="22"/>
          <w:lang w:eastAsia="it-IT"/>
        </w:rPr>
      </w:pPr>
      <w:r>
        <w:rPr>
          <w:rFonts w:eastAsia="Times New Roman" w:cs="Arial" w:ascii="Arial" w:hAnsi="Arial"/>
          <w:i/>
          <w:iCs/>
          <w:color w:val="00B0F0"/>
          <w:szCs w:val="22"/>
          <w:lang w:eastAsia="it-IT"/>
        </w:rPr>
      </w:r>
    </w:p>
    <w:p>
      <w:pPr>
        <w:pStyle w:val="Normal"/>
        <w:spacing w:lineRule="auto" w:line="240" w:before="0" w:after="0"/>
        <w:rPr>
          <w:rFonts w:ascii="Arial" w:hAnsi="Arial" w:eastAsia="Times New Roman" w:cs="Arial"/>
          <w:i/>
          <w:i/>
          <w:iCs/>
          <w:color w:val="00B0F0"/>
          <w:szCs w:val="22"/>
          <w:lang w:eastAsia="it-IT"/>
        </w:rPr>
      </w:pPr>
      <w:r>
        <w:rPr>
          <w:rFonts w:eastAsia="Times New Roman" w:cs="Arial" w:ascii="Arial" w:hAnsi="Arial"/>
          <w:i/>
          <w:iCs/>
          <w:color w:val="00B0F0"/>
          <w:szCs w:val="22"/>
          <w:lang w:eastAsia="it-IT"/>
        </w:rPr>
      </w:r>
    </w:p>
    <w:p>
      <w:pPr>
        <w:pStyle w:val="Normal"/>
        <w:suppressAutoHyphens w:val="true"/>
        <w:spacing w:lineRule="auto" w:line="240" w:before="0" w:after="0"/>
        <w:ind w:left="2" w:hanging="0"/>
        <w:textAlignment w:val="top"/>
        <w:rPr>
          <w:rFonts w:ascii="Arial" w:hAnsi="Arial" w:eastAsia="Times New Roman" w:cs="Arial"/>
          <w:color w:val="auto"/>
          <w:szCs w:val="22"/>
          <w:lang w:eastAsia="it-IT"/>
        </w:rPr>
      </w:pPr>
      <w:r>
        <w:rPr>
          <w:rFonts w:eastAsia="Times New Roman" w:cs="Arial" w:ascii="Arial" w:hAnsi="Arial"/>
          <w:color w:val="auto"/>
          <w:szCs w:val="22"/>
          <w:lang w:eastAsia="it-IT"/>
        </w:rPr>
        <w:t xml:space="preserve">- l’Ente nel calcolare il fondo crediti di dubbia esigibilità </w:t>
      </w:r>
      <w:r>
        <w:rPr>
          <w:rFonts w:eastAsia="Times New Roman" w:cs="Arial" w:ascii="Arial" w:hAnsi="Arial"/>
          <w:b/>
          <w:bCs/>
          <w:i/>
          <w:iCs/>
          <w:color w:val="auto"/>
          <w:szCs w:val="22"/>
          <w:lang w:eastAsia="it-IT"/>
        </w:rPr>
        <w:t xml:space="preserve">si è </w:t>
      </w:r>
      <w:r>
        <w:rPr>
          <w:rFonts w:eastAsia="Times New Roman" w:cs="Arial" w:ascii="Arial" w:hAnsi="Arial"/>
          <w:color w:val="auto"/>
          <w:szCs w:val="22"/>
          <w:lang w:eastAsia="it-IT"/>
        </w:rPr>
        <w:t>avvalso della facoltà di cui all’art.107-bis,</w:t>
      </w:r>
      <w:r>
        <w:rPr>
          <w:rFonts w:eastAsia="Times New Roman" w:cs="Arial" w:ascii="Arial" w:hAnsi="Arial"/>
          <w:color w:val="auto"/>
          <w:sz w:val="22"/>
          <w:szCs w:val="22"/>
          <w:lang w:eastAsia="it-IT"/>
        </w:rPr>
        <w:t xml:space="preserve"> D.L. n.18/2020 come modificato dall'art. 30-bis del D.L. n. 41/2021, che consente nella quantificazione del FCDE da accantonare nel risultato di amministrazione 2021 (entrate titolo 1 e 3), di calcolare la percentuale di riscossione del quinquennio precedente con i dati del 2019 in luogo di quelli del 2020 e del 2021.</w:t>
      </w:r>
    </w:p>
    <w:p>
      <w:pPr>
        <w:pStyle w:val="Normal"/>
        <w:suppressAutoHyphens w:val="true"/>
        <w:spacing w:lineRule="auto" w:line="240" w:before="0" w:after="0"/>
        <w:ind w:left="2" w:hanging="0"/>
        <w:textAlignment w:val="top"/>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suppressAutoHyphens w:val="true"/>
        <w:spacing w:lineRule="auto" w:line="240" w:before="0" w:after="0"/>
        <w:ind w:left="2" w:hanging="0"/>
        <w:textAlignment w:val="top"/>
        <w:rPr>
          <w:rFonts w:ascii="Arial" w:hAnsi="Arial" w:eastAsia="Times New Roman" w:cs="Arial"/>
          <w:color w:val="auto"/>
          <w:szCs w:val="22"/>
          <w:lang w:eastAsia="it-IT"/>
        </w:rPr>
      </w:pPr>
      <w:r>
        <w:rPr>
          <w:rFonts w:eastAsia="Times New Roman" w:cs="Arial" w:ascii="Arial" w:hAnsi="Arial"/>
          <w:color w:val="auto"/>
          <w:sz w:val="22"/>
          <w:szCs w:val="22"/>
          <w:lang w:eastAsia="it-IT"/>
        </w:rPr>
        <w:t>Relativamente ai criteri effettivamente adottati per la formazione del fondo, l’Ente ha quantificato l</w:t>
      </w:r>
      <w:r>
        <w:rPr>
          <w:rFonts w:ascii="Arial" w:hAnsi="Arial"/>
          <w:color w:val="auto"/>
          <w:sz w:val="22"/>
          <w:szCs w:val="22"/>
        </w:rPr>
        <w:t>’importo del FCD dopo avere:</w:t>
      </w:r>
    </w:p>
    <w:p>
      <w:pPr>
        <w:pStyle w:val="Normal"/>
        <w:numPr>
          <w:ilvl w:val="0"/>
          <w:numId w:val="12"/>
        </w:numPr>
        <w:suppressAutoHyphens w:val="true"/>
        <w:spacing w:lineRule="auto" w:line="240" w:before="0" w:after="0"/>
        <w:textAlignment w:val="top"/>
        <w:rPr>
          <w:rFonts w:ascii="Arial" w:hAnsi="Arial" w:eastAsia="Times New Roman" w:cs="Arial"/>
          <w:color w:val="auto"/>
          <w:szCs w:val="22"/>
          <w:lang w:eastAsia="it-IT"/>
        </w:rPr>
      </w:pPr>
      <w:r>
        <w:rPr>
          <w:rFonts w:ascii="Arial" w:hAnsi="Arial"/>
          <w:color w:val="auto"/>
          <w:sz w:val="22"/>
          <w:szCs w:val="22"/>
        </w:rPr>
        <w:t>individuato le categorie di entrate che possono dare luogo alla formazione di crediti dubbi;</w:t>
      </w:r>
    </w:p>
    <w:p>
      <w:pPr>
        <w:pStyle w:val="Normal"/>
        <w:numPr>
          <w:ilvl w:val="0"/>
          <w:numId w:val="12"/>
        </w:numPr>
        <w:suppressAutoHyphens w:val="true"/>
        <w:spacing w:lineRule="auto" w:line="240" w:before="0" w:after="0"/>
        <w:textAlignment w:val="top"/>
        <w:rPr>
          <w:rFonts w:ascii="Arial" w:hAnsi="Arial" w:eastAsia="Times New Roman" w:cs="Arial"/>
          <w:color w:val="auto"/>
          <w:szCs w:val="22"/>
          <w:lang w:eastAsia="it-IT"/>
        </w:rPr>
      </w:pPr>
      <w:r>
        <w:rPr>
          <w:rFonts w:ascii="Arial" w:hAnsi="Arial"/>
          <w:color w:val="auto"/>
          <w:sz w:val="22"/>
          <w:szCs w:val="22"/>
        </w:rPr>
        <w:t>calcolato, per ciascuna categoria, la media tra gli incassi in conto residui attivi ed i rispettivi crediti di inizio esercizio riscontrati nell’ultimo quinquennio, secondo le metodologie ammesse.</w:t>
      </w:r>
    </w:p>
    <w:p>
      <w:pPr>
        <w:pStyle w:val="Normal"/>
        <w:suppressAutoHyphens w:val="true"/>
        <w:spacing w:lineRule="auto" w:line="240" w:before="0" w:after="0"/>
        <w:textAlignment w:val="top"/>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jc w:val="left"/>
        <w:rPr>
          <w:rFonts w:ascii="Arial" w:hAnsi="Arial"/>
          <w:color w:val="auto"/>
          <w:sz w:val="22"/>
          <w:szCs w:val="22"/>
        </w:rPr>
      </w:pPr>
      <w:r>
        <w:rPr>
          <w:rFonts w:ascii="Arial" w:hAnsi="Arial"/>
          <w:color w:val="auto"/>
          <w:sz w:val="22"/>
          <w:szCs w:val="22"/>
        </w:rPr>
        <w:t>Al termine dell'esercizio 2024 è stato accantonato un FCDE complessivo di € 17.372.580,86, esclusivamente di parte corrente.</w:t>
      </w:r>
    </w:p>
    <w:p>
      <w:pPr>
        <w:pStyle w:val="Normal"/>
        <w:jc w:val="left"/>
        <w:rPr>
          <w:rFonts w:ascii="Arial" w:hAnsi="Arial"/>
          <w:color w:val="auto"/>
          <w:sz w:val="22"/>
          <w:szCs w:val="22"/>
        </w:rPr>
      </w:pPr>
      <w:r>
        <w:rPr>
          <w:rFonts w:ascii="Arial" w:hAnsi="Arial"/>
          <w:color w:val="auto"/>
          <w:sz w:val="22"/>
          <w:szCs w:val="22"/>
        </w:rPr>
        <w:t>Nella quantificazione di tale fondo l’Ente ha proceduto nel rispetto dei seguenti principi:</w:t>
      </w:r>
    </w:p>
    <w:p>
      <w:pPr>
        <w:pStyle w:val="Normal"/>
        <w:numPr>
          <w:ilvl w:val="0"/>
          <w:numId w:val="13"/>
        </w:numPr>
        <w:jc w:val="left"/>
        <w:rPr/>
      </w:pPr>
      <w:r>
        <w:rPr>
          <w:rFonts w:ascii="Arial" w:hAnsi="Arial"/>
          <w:color w:val="auto"/>
          <w:sz w:val="22"/>
          <w:szCs w:val="22"/>
        </w:rPr>
        <w:t>analisi di ogni singola entrata mediante valutazione dell’andamento nell’ultimo quinquennio;</w:t>
      </w:r>
    </w:p>
    <w:p>
      <w:pPr>
        <w:pStyle w:val="Normal"/>
        <w:numPr>
          <w:ilvl w:val="0"/>
          <w:numId w:val="13"/>
        </w:numPr>
        <w:jc w:val="left"/>
        <w:rPr/>
      </w:pPr>
      <w:r>
        <w:rPr>
          <w:rFonts w:ascii="Arial" w:hAnsi="Arial"/>
          <w:color w:val="auto"/>
          <w:sz w:val="22"/>
          <w:szCs w:val="22"/>
        </w:rPr>
        <w:t>applicazione distinta per ciascuna entrata della modalità di calcolo, secondo la media semplice;</w:t>
      </w:r>
    </w:p>
    <w:p>
      <w:pPr>
        <w:pStyle w:val="Normal"/>
        <w:numPr>
          <w:ilvl w:val="0"/>
          <w:numId w:val="13"/>
        </w:numPr>
        <w:jc w:val="left"/>
        <w:rPr/>
      </w:pPr>
      <w:r>
        <w:rPr>
          <w:rFonts w:ascii="Arial" w:hAnsi="Arial"/>
          <w:color w:val="auto"/>
          <w:sz w:val="22"/>
          <w:szCs w:val="22"/>
        </w:rPr>
        <w:t>obbligo di accantonamento integrale.</w:t>
      </w:r>
    </w:p>
    <w:p>
      <w:pPr>
        <w:pStyle w:val="Normal"/>
        <w:spacing w:lineRule="auto" w:line="240" w:before="0" w:after="0"/>
        <w:rPr>
          <w:rFonts w:ascii="Arial" w:hAnsi="Arial" w:eastAsia="Times New Roman" w:cs="Arial"/>
          <w:b/>
          <w:b/>
          <w:color w:val="auto"/>
          <w:szCs w:val="22"/>
          <w:u w:val="single"/>
          <w:lang w:eastAsia="it-IT"/>
        </w:rPr>
      </w:pPr>
      <w:r>
        <w:rPr>
          <w:rFonts w:eastAsia="Times New Roman" w:cs="Arial" w:ascii="Arial" w:hAnsi="Arial"/>
          <w:b/>
          <w:color w:val="auto"/>
          <w:szCs w:val="22"/>
          <w:u w:val="single"/>
          <w:lang w:eastAsia="it-IT"/>
        </w:rPr>
      </w:r>
    </w:p>
    <w:p>
      <w:pPr>
        <w:pStyle w:val="Normal"/>
        <w:spacing w:lineRule="auto" w:line="240" w:before="0" w:after="0"/>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spacing w:lineRule="auto" w:line="240" w:before="0" w:after="0"/>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spacing w:lineRule="auto" w:line="240" w:before="0" w:after="0"/>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spacing w:lineRule="auto" w:line="240" w:before="0" w:after="120"/>
        <w:rPr>
          <w:rFonts w:ascii="Arial" w:hAnsi="Arial" w:eastAsia="Times New Roman" w:cs="Arial"/>
          <w:color w:val="auto"/>
          <w:szCs w:val="22"/>
          <w:lang w:eastAsia="it-IT"/>
        </w:rPr>
      </w:pPr>
      <w:r>
        <w:rPr>
          <w:rFonts w:eastAsia="Times New Roman" w:cs="Arial" w:ascii="Arial" w:hAnsi="Arial"/>
          <w:color w:val="auto"/>
          <w:szCs w:val="22"/>
          <w:lang w:eastAsia="it-IT"/>
        </w:rPr>
        <w:drawing>
          <wp:anchor behindDoc="0" distT="0" distB="0" distL="0" distR="0" simplePos="0" locked="0" layoutInCell="0" allowOverlap="1" relativeHeight="12">
            <wp:simplePos x="0" y="0"/>
            <wp:positionH relativeFrom="column">
              <wp:posOffset>-577850</wp:posOffset>
            </wp:positionH>
            <wp:positionV relativeFrom="paragraph">
              <wp:posOffset>-38100</wp:posOffset>
            </wp:positionV>
            <wp:extent cx="5344160" cy="2125980"/>
            <wp:effectExtent l="0" t="0" r="0" b="0"/>
            <wp:wrapSquare wrapText="largest"/>
            <wp:docPr id="11" name="Immagin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9" descr=""/>
                    <pic:cNvPicPr>
                      <a:picLocks noChangeAspect="1" noChangeArrowheads="1"/>
                    </pic:cNvPicPr>
                  </pic:nvPicPr>
                  <pic:blipFill>
                    <a:blip r:embed="rId13"/>
                    <a:stretch>
                      <a:fillRect/>
                    </a:stretch>
                  </pic:blipFill>
                  <pic:spPr bwMode="auto">
                    <a:xfrm>
                      <a:off x="0" y="0"/>
                      <a:ext cx="5344160" cy="2125980"/>
                    </a:xfrm>
                    <a:prstGeom prst="rect">
                      <a:avLst/>
                    </a:prstGeom>
                  </pic:spPr>
                </pic:pic>
              </a:graphicData>
            </a:graphic>
          </wp:anchor>
        </w:drawing>
        <w:drawing>
          <wp:anchor behindDoc="0" distT="0" distB="0" distL="0" distR="0" simplePos="0" locked="0" layoutInCell="0" allowOverlap="1" relativeHeight="13">
            <wp:simplePos x="0" y="0"/>
            <wp:positionH relativeFrom="column">
              <wp:posOffset>4766310</wp:posOffset>
            </wp:positionH>
            <wp:positionV relativeFrom="paragraph">
              <wp:posOffset>-38100</wp:posOffset>
            </wp:positionV>
            <wp:extent cx="1581150" cy="2381885"/>
            <wp:effectExtent l="0" t="0" r="0" b="0"/>
            <wp:wrapSquare wrapText="largest"/>
            <wp:docPr id="12" name="Immagin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10" descr=""/>
                    <pic:cNvPicPr>
                      <a:picLocks noChangeAspect="1" noChangeArrowheads="1"/>
                    </pic:cNvPicPr>
                  </pic:nvPicPr>
                  <pic:blipFill>
                    <a:blip r:embed="rId14"/>
                    <a:stretch>
                      <a:fillRect/>
                    </a:stretch>
                  </pic:blipFill>
                  <pic:spPr bwMode="auto">
                    <a:xfrm>
                      <a:off x="0" y="0"/>
                      <a:ext cx="1581150" cy="2381885"/>
                    </a:xfrm>
                    <a:prstGeom prst="rect">
                      <a:avLst/>
                    </a:prstGeom>
                  </pic:spPr>
                </pic:pic>
              </a:graphicData>
            </a:graphic>
          </wp:anchor>
        </w:drawing>
      </w:r>
    </w:p>
    <w:p>
      <w:pPr>
        <w:pStyle w:val="Normal"/>
        <w:spacing w:lineRule="auto" w:line="240" w:before="0" w:after="120"/>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spacing w:lineRule="auto" w:line="240" w:before="0" w:after="120"/>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spacing w:lineRule="auto" w:line="240" w:before="0" w:after="120"/>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spacing w:lineRule="auto" w:line="240" w:before="0" w:after="120"/>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spacing w:lineRule="auto" w:line="240" w:before="0" w:after="120"/>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spacing w:lineRule="auto" w:line="240" w:before="0" w:after="120"/>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Titolo3"/>
        <w:numPr>
          <w:ilvl w:val="2"/>
          <w:numId w:val="80"/>
        </w:numPr>
        <w:ind w:left="1484" w:hanging="633"/>
        <w:rPr/>
      </w:pPr>
      <w:bookmarkStart w:id="51" w:name="_Toc192666981"/>
      <w:bookmarkStart w:id="52" w:name="_Toc130056250"/>
      <w:r>
        <w:rPr/>
        <w:t>Fondo perdite aziende e società partecipate</w:t>
      </w:r>
      <w:bookmarkEnd w:id="51"/>
      <w:bookmarkEnd w:id="52"/>
    </w:p>
    <w:p>
      <w:pPr>
        <w:pStyle w:val="Normal"/>
        <w:widowControl w:val="false"/>
        <w:overflowPunct w:val="true"/>
        <w:spacing w:lineRule="auto" w:line="240" w:before="0" w:after="0"/>
        <w:textAlignment w:val="baseline"/>
        <w:rPr>
          <w:rFonts w:ascii="Arial" w:hAnsi="Arial" w:eastAsia="Times New Roman" w:cs="Times New Roman"/>
          <w:strike/>
          <w:color w:val="auto"/>
          <w:szCs w:val="22"/>
          <w:highlight w:val="yellow"/>
          <w:lang w:eastAsia="it-IT"/>
        </w:rPr>
      </w:pPr>
      <w:r>
        <w:rPr>
          <w:rFonts w:eastAsia="Times New Roman" w:cs="Times New Roman" w:ascii="Arial" w:hAnsi="Arial"/>
          <w:color w:val="auto"/>
          <w:szCs w:val="22"/>
          <w:lang w:eastAsia="it-IT"/>
        </w:rPr>
        <w:t>L’Organo di revisione dà atto che n</w:t>
      </w:r>
      <w:r>
        <w:rPr>
          <w:rFonts w:eastAsia="Times New Roman" w:cs="Arial" w:ascii="Arial" w:hAnsi="Arial"/>
          <w:color w:val="auto" w:themeColor="text1" w:themeTint="bf"/>
          <w:sz w:val="22"/>
          <w:szCs w:val="22"/>
          <w:lang w:eastAsia="it-IT"/>
        </w:rPr>
        <w:t>on esiste la fattispecie; per tale ragione non sono stati effettuati accantonamenti. L’Ente non detiene partecipazioni di controllo e le società partecipate/enti strumentali partecipati non hanno registrato perdite.</w:t>
      </w:r>
    </w:p>
    <w:p>
      <w:pPr>
        <w:pStyle w:val="Normal"/>
        <w:widowControl w:val="false"/>
        <w:overflowPunct w:val="true"/>
        <w:spacing w:lineRule="auto" w:line="240" w:before="0" w:after="0"/>
        <w:textAlignment w:val="baseline"/>
        <w:rPr>
          <w:rFonts w:ascii="Arial" w:hAnsi="Arial" w:eastAsia="Times New Roman" w:cs="Times New Roman"/>
          <w:color w:val="auto"/>
          <w:sz w:val="20"/>
          <w:szCs w:val="20"/>
          <w:highlight w:val="yellow"/>
          <w:lang w:eastAsia="it-IT"/>
        </w:rPr>
      </w:pPr>
      <w:r>
        <w:rPr>
          <w:rFonts w:eastAsia="Times New Roman" w:cs="Times New Roman" w:ascii="Arial" w:hAnsi="Arial"/>
          <w:color w:val="auto"/>
          <w:sz w:val="20"/>
          <w:szCs w:val="20"/>
          <w:highlight w:val="yellow"/>
          <w:lang w:eastAsia="it-IT"/>
        </w:rPr>
      </w:r>
    </w:p>
    <w:p>
      <w:pPr>
        <w:pStyle w:val="Normal"/>
        <w:widowControl w:val="false"/>
        <w:overflowPunct w:val="true"/>
        <w:spacing w:lineRule="auto" w:line="240" w:before="0" w:after="0"/>
        <w:textAlignment w:val="baseline"/>
        <w:rPr>
          <w:rFonts w:ascii="Arial" w:hAnsi="Arial" w:eastAsia="Times New Roman" w:cs="Times New Roman"/>
          <w:b/>
          <w:b/>
          <w:bCs/>
          <w:i/>
          <w:i/>
          <w:iCs/>
          <w:color w:val="00B0F0"/>
          <w:sz w:val="20"/>
          <w:szCs w:val="20"/>
          <w:highlight w:val="yellow"/>
          <w:lang w:eastAsia="it-IT"/>
        </w:rPr>
      </w:pPr>
      <w:r>
        <w:rPr>
          <w:rFonts w:eastAsia="Times New Roman" w:cs="Times New Roman" w:ascii="Arial" w:hAnsi="Arial"/>
          <w:b/>
          <w:bCs/>
          <w:i/>
          <w:iCs/>
          <w:color w:val="00B0F0"/>
          <w:sz w:val="20"/>
          <w:szCs w:val="20"/>
          <w:highlight w:val="yellow"/>
          <w:lang w:eastAsia="it-IT"/>
        </w:rPr>
      </w:r>
    </w:p>
    <w:p>
      <w:pPr>
        <w:pStyle w:val="Titolo3"/>
        <w:numPr>
          <w:ilvl w:val="2"/>
          <w:numId w:val="81"/>
        </w:numPr>
        <w:ind w:left="1484" w:hanging="633"/>
        <w:rPr/>
      </w:pPr>
      <w:bookmarkStart w:id="53" w:name="_Toc192666982"/>
      <w:bookmarkStart w:id="54" w:name="_Toc130056251"/>
      <w:bookmarkStart w:id="55" w:name="_Toc127770146"/>
      <w:bookmarkStart w:id="56" w:name="_Toc98417447"/>
      <w:r>
        <w:rPr/>
        <w:t>Fondo anticipazione liquidità</w:t>
      </w:r>
      <w:bookmarkEnd w:id="53"/>
      <w:bookmarkEnd w:id="54"/>
      <w:bookmarkEnd w:id="55"/>
      <w:bookmarkEnd w:id="56"/>
    </w:p>
    <w:p>
      <w:pPr>
        <w:pStyle w:val="Normal"/>
        <w:widowControl w:val="false"/>
        <w:overflowPunct w:val="true"/>
        <w:spacing w:lineRule="auto" w:line="240" w:before="0" w:after="120"/>
        <w:contextualSpacing/>
        <w:textAlignment w:val="baseline"/>
        <w:rPr>
          <w:rFonts w:ascii="Arial" w:hAnsi="Arial" w:eastAsia="Times New Roman" w:cs="Arial"/>
          <w:color w:val="auto"/>
          <w:szCs w:val="22"/>
          <w:lang w:eastAsia="it-IT"/>
        </w:rPr>
      </w:pPr>
      <w:r>
        <w:rPr>
          <w:rFonts w:eastAsia="Times New Roman" w:cs="Arial" w:ascii="Arial" w:hAnsi="Arial"/>
          <w:bCs/>
          <w:iCs/>
          <w:color w:val="auto"/>
          <w:szCs w:val="22"/>
          <w:lang w:eastAsia="it-IT"/>
        </w:rPr>
        <w:t>L’Ente</w:t>
      </w:r>
      <w:r>
        <w:rPr>
          <w:rFonts w:eastAsia="Times New Roman" w:cs="Arial" w:ascii="Arial" w:hAnsi="Arial"/>
          <w:b/>
          <w:i/>
          <w:color w:val="auto"/>
          <w:szCs w:val="22"/>
          <w:lang w:eastAsia="it-IT"/>
        </w:rPr>
        <w:t xml:space="preserve"> non ha</w:t>
      </w:r>
      <w:r>
        <w:rPr>
          <w:rFonts w:eastAsia="Times New Roman" w:cs="Arial" w:ascii="Arial" w:hAnsi="Arial"/>
          <w:color w:val="auto"/>
          <w:szCs w:val="22"/>
          <w:lang w:eastAsia="it-IT"/>
        </w:rPr>
        <w:t xml:space="preserve"> ricevuto anticipazioni di liquidità di cui all’art.1 comma 11 del D.L. n. 35/2013 convertito in legge n. 64/2013</w:t>
      </w:r>
      <w:r>
        <w:rPr>
          <w:rFonts w:eastAsia="Times New Roman" w:cs="Times New Roman" w:ascii="Arial" w:hAnsi="Arial"/>
          <w:color w:val="auto"/>
          <w:szCs w:val="22"/>
          <w:lang w:eastAsia="it-IT"/>
        </w:rPr>
        <w:t xml:space="preserve"> </w:t>
      </w:r>
      <w:r>
        <w:rPr>
          <w:rFonts w:eastAsia="Times New Roman" w:cs="Arial" w:ascii="Arial" w:hAnsi="Arial"/>
          <w:color w:val="auto"/>
          <w:szCs w:val="22"/>
          <w:lang w:eastAsia="it-IT"/>
        </w:rPr>
        <w:t>e norme successive di rifinanziamento.</w:t>
      </w:r>
    </w:p>
    <w:p>
      <w:pPr>
        <w:pStyle w:val="Normal"/>
        <w:spacing w:lineRule="auto" w:line="240" w:before="0" w:after="0"/>
        <w:ind w:left="-1" w:hanging="0"/>
        <w:rPr>
          <w:rFonts w:ascii="Arial" w:hAnsi="Arial" w:eastAsia="Times New Roman" w:cs="Times New Roman"/>
          <w:color w:val="auto"/>
          <w:szCs w:val="22"/>
          <w:lang w:eastAsia="it-IT"/>
        </w:rPr>
      </w:pPr>
      <w:r>
        <w:rPr>
          <w:rFonts w:eastAsia="Times New Roman" w:cs="Times New Roman" w:ascii="Arial" w:hAnsi="Arial"/>
          <w:color w:val="auto"/>
          <w:szCs w:val="22"/>
          <w:lang w:eastAsia="it-IT"/>
        </w:rPr>
      </w:r>
    </w:p>
    <w:p>
      <w:pPr>
        <w:pStyle w:val="Titolo2"/>
        <w:numPr>
          <w:ilvl w:val="1"/>
          <w:numId w:val="82"/>
        </w:numPr>
        <w:ind w:left="851" w:hanging="491"/>
        <w:rPr/>
      </w:pPr>
      <w:bookmarkStart w:id="57" w:name="_Toc192666983"/>
      <w:bookmarkStart w:id="58" w:name="_Toc130056252"/>
      <w:bookmarkStart w:id="59" w:name="_Toc127770147"/>
      <w:bookmarkStart w:id="60" w:name="_Toc98417448"/>
      <w:r>
        <w:rPr/>
        <w:t>Fondi spese e rischi futuri</w:t>
      </w:r>
      <w:bookmarkEnd w:id="57"/>
      <w:bookmarkEnd w:id="58"/>
      <w:bookmarkEnd w:id="59"/>
      <w:bookmarkEnd w:id="60"/>
    </w:p>
    <w:p>
      <w:pPr>
        <w:pStyle w:val="Titolo3"/>
        <w:numPr>
          <w:ilvl w:val="2"/>
          <w:numId w:val="83"/>
        </w:numPr>
        <w:ind w:left="1484" w:hanging="633"/>
        <w:rPr/>
      </w:pPr>
      <w:bookmarkStart w:id="61" w:name="_Toc192666984"/>
      <w:bookmarkStart w:id="62" w:name="_Toc130056253"/>
      <w:r>
        <w:rPr/>
        <w:t>Fondo contenzioso</w:t>
      </w:r>
      <w:bookmarkEnd w:id="61"/>
      <w:bookmarkEnd w:id="62"/>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L’Organo di revisione ha verificato che il risultato di amministrazione presenta un accantonamento per fondo rischi contenzioso per euro 1.080.195,26, </w:t>
      </w:r>
      <w:r>
        <w:rPr>
          <w:rFonts w:eastAsia="Times New Roman" w:cs="Arial" w:ascii="Arial" w:hAnsi="Arial"/>
          <w:bCs/>
          <w:color w:val="auto"/>
          <w:szCs w:val="22"/>
          <w:lang w:eastAsia="it-IT"/>
        </w:rPr>
        <w:t>determinato</w:t>
      </w:r>
      <w:r>
        <w:rPr>
          <w:rFonts w:eastAsia="Times New Roman" w:cs="Arial" w:ascii="Arial" w:hAnsi="Arial"/>
          <w:color w:val="auto"/>
          <w:szCs w:val="22"/>
          <w:lang w:eastAsia="it-IT"/>
        </w:rPr>
        <w:t xml:space="preserve"> secondo le modalità previste dal principio applicato alla contabilità finanziaria al punto 5.2 lettera h) per il pagamento di potenziali oneri derivanti da sentenze e le quote accantonate risultano congrue.</w:t>
      </w:r>
    </w:p>
    <w:p>
      <w:pPr>
        <w:pStyle w:val="Normal"/>
        <w:widowControl w:val="false"/>
        <w:overflowPunct w:val="true"/>
        <w:spacing w:lineRule="auto" w:line="240" w:before="0" w:after="120"/>
        <w:textAlignment w:val="baseline"/>
        <w:rPr>
          <w:i w:val="false"/>
          <w:i w:val="false"/>
          <w:iCs w:val="false"/>
        </w:rPr>
      </w:pPr>
      <w:r>
        <w:rPr>
          <w:i w:val="false"/>
          <w:iCs w:val="false"/>
        </w:rPr>
      </w:r>
    </w:p>
    <w:p>
      <w:pPr>
        <w:pStyle w:val="Normal"/>
        <w:widowControl w:val="false"/>
        <w:overflowPunct w:val="true"/>
        <w:spacing w:lineRule="auto" w:line="240" w:before="0" w:after="120"/>
        <w:textAlignment w:val="baseline"/>
        <w:rPr>
          <w:i w:val="false"/>
          <w:i w:val="false"/>
          <w:iCs w:val="false"/>
        </w:rPr>
      </w:pPr>
      <w:r>
        <w:rPr>
          <w:rFonts w:eastAsia="Times New Roman" w:cs="Arial" w:ascii="Arial" w:hAnsi="Arial"/>
          <w:i w:val="false"/>
          <w:iCs w:val="false"/>
          <w:color w:val="auto"/>
          <w:szCs w:val="22"/>
          <w:lang w:eastAsia="it-IT"/>
        </w:rPr>
        <w:t>Detto stanziamento risulta quantificato sulla base dei contenziosi e spese potenziali possibili derivanti da sentenze, come da prospetto redatto dal Servizio legale dell’Ente.</w:t>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Titolo3"/>
        <w:numPr>
          <w:ilvl w:val="2"/>
          <w:numId w:val="84"/>
        </w:numPr>
        <w:ind w:left="1484" w:hanging="633"/>
        <w:rPr/>
      </w:pPr>
      <w:bookmarkStart w:id="63" w:name="_Toc192666985"/>
      <w:bookmarkStart w:id="64" w:name="_Toc130056254"/>
      <w:r>
        <w:rPr/>
        <w:t>Fondo indennità di fine mandato</w:t>
      </w:r>
      <w:bookmarkEnd w:id="63"/>
      <w:bookmarkEnd w:id="64"/>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L’Organo di revisione ha verificato che l’Ente ha costituito un fondo per indennità di fine mandato, così determinato:</w:t>
      </w:r>
    </w:p>
    <w:p>
      <w:pPr>
        <w:pStyle w:val="Normal"/>
        <w:widowControl w:val="false"/>
        <w:overflowPunct w:val="true"/>
        <w:spacing w:lineRule="auto" w:line="240" w:before="0" w:after="120"/>
        <w:textAlignment w:val="baseline"/>
        <w:rPr>
          <w:rFonts w:ascii="Arial" w:hAnsi="Arial" w:eastAsia="Times New Roman" w:cs="Arial"/>
          <w:color w:val="auto"/>
          <w:sz w:val="20"/>
          <w:szCs w:val="20"/>
          <w:lang w:eastAsia="it-IT"/>
        </w:rPr>
      </w:pPr>
      <w:r>
        <w:rPr>
          <w:rFonts w:eastAsia="Times New Roman" w:cs="Arial" w:ascii="Arial" w:hAnsi="Arial"/>
          <w:color w:val="auto"/>
          <w:sz w:val="20"/>
          <w:szCs w:val="20"/>
          <w:lang w:eastAsia="it-IT"/>
        </w:rPr>
      </w:r>
    </w:p>
    <w:tbl>
      <w:tblPr>
        <w:tblW w:w="8780" w:type="dxa"/>
        <w:jc w:val="left"/>
        <w:tblInd w:w="-2" w:type="dxa"/>
        <w:tblLayout w:type="fixed"/>
        <w:tblCellMar>
          <w:top w:w="0" w:type="dxa"/>
          <w:left w:w="28" w:type="dxa"/>
          <w:bottom w:w="0" w:type="dxa"/>
          <w:right w:w="28" w:type="dxa"/>
        </w:tblCellMar>
      </w:tblPr>
      <w:tblGrid>
        <w:gridCol w:w="7464"/>
        <w:gridCol w:w="1315"/>
      </w:tblGrid>
      <w:tr>
        <w:trPr>
          <w:trHeight w:val="498" w:hRule="atLeast"/>
        </w:trPr>
        <w:tc>
          <w:tcPr>
            <w:tcW w:w="7464" w:type="dxa"/>
            <w:tcBorders>
              <w:top w:val="single" w:sz="2" w:space="0" w:color="000000"/>
              <w:left w:val="single" w:sz="2" w:space="0" w:color="000000"/>
              <w:bottom w:val="single" w:sz="2" w:space="0" w:color="000000"/>
            </w:tcBorders>
          </w:tcPr>
          <w:p>
            <w:pPr>
              <w:pStyle w:val="Normal"/>
              <w:widowControl w:val="false"/>
              <w:tabs>
                <w:tab w:val="clear" w:pos="708"/>
              </w:tabs>
              <w:spacing w:before="0" w:after="200"/>
              <w:jc w:val="left"/>
              <w:rPr>
                <w:rFonts w:ascii="Arial" w:hAnsi="Arial"/>
                <w:color w:val="auto"/>
                <w:sz w:val="22"/>
                <w:szCs w:val="22"/>
              </w:rPr>
            </w:pPr>
            <w:r>
              <w:rPr>
                <w:rFonts w:eastAsia="Times New Roman" w:cs="Arial" w:ascii="Arial" w:hAnsi="Arial"/>
                <w:b w:val="false"/>
                <w:bCs w:val="false"/>
                <w:color w:val="auto" w:themeColor="text1" w:themeTint="bf"/>
                <w:sz w:val="22"/>
                <w:szCs w:val="22"/>
                <w:lang w:eastAsia="it-IT"/>
              </w:rPr>
              <w:t>Somme gi</w:t>
            </w:r>
            <w:r>
              <w:rPr>
                <w:rFonts w:ascii="Arial" w:hAnsi="Arial"/>
                <w:b w:val="false"/>
                <w:bCs w:val="false"/>
                <w:color w:val="auto"/>
                <w:sz w:val="22"/>
                <w:szCs w:val="22"/>
              </w:rPr>
              <w:t xml:space="preserve">à </w:t>
            </w:r>
            <w:r>
              <w:rPr>
                <w:rFonts w:ascii="Arial" w:hAnsi="Arial"/>
                <w:color w:val="auto"/>
                <w:sz w:val="22"/>
                <w:szCs w:val="22"/>
              </w:rPr>
              <w:t>accantonate nell’avanzo del rendiconto dell’esercizio precedente (eventuale)</w:t>
            </w:r>
          </w:p>
        </w:tc>
        <w:tc>
          <w:tcPr>
            <w:tcW w:w="1315" w:type="dxa"/>
            <w:tcBorders>
              <w:top w:val="single" w:sz="2" w:space="0" w:color="000000"/>
              <w:left w:val="single" w:sz="2" w:space="0" w:color="000000"/>
              <w:bottom w:val="single" w:sz="2" w:space="0" w:color="000000"/>
              <w:right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 </w:t>
            </w:r>
            <w:r>
              <w:rPr>
                <w:rFonts w:ascii="Arial" w:hAnsi="Arial"/>
                <w:color w:val="auto"/>
                <w:sz w:val="22"/>
                <w:szCs w:val="22"/>
              </w:rPr>
              <w:t>15.550,00</w:t>
            </w:r>
          </w:p>
        </w:tc>
      </w:tr>
      <w:tr>
        <w:trPr>
          <w:trHeight w:val="292" w:hRule="atLeast"/>
        </w:trPr>
        <w:tc>
          <w:tcPr>
            <w:tcW w:w="7464"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color w:val="auto"/>
                <w:sz w:val="22"/>
                <w:szCs w:val="22"/>
              </w:rPr>
            </w:pPr>
            <w:r>
              <w:rPr>
                <w:rFonts w:ascii="Arial" w:hAnsi="Arial"/>
                <w:color w:val="auto"/>
                <w:sz w:val="22"/>
                <w:szCs w:val="22"/>
              </w:rPr>
              <w:t>Somme previste nel bilancio dell’esercizio cui il rendiconto si riferisce</w:t>
            </w:r>
          </w:p>
        </w:tc>
        <w:tc>
          <w:tcPr>
            <w:tcW w:w="1315" w:type="dxa"/>
            <w:tcBorders>
              <w:left w:val="single" w:sz="2" w:space="0" w:color="000000"/>
              <w:bottom w:val="single" w:sz="2" w:space="0" w:color="000000"/>
              <w:right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 </w:t>
            </w:r>
            <w:r>
              <w:rPr>
                <w:rFonts w:ascii="Arial" w:hAnsi="Arial"/>
                <w:color w:val="auto"/>
                <w:sz w:val="22"/>
                <w:szCs w:val="22"/>
              </w:rPr>
              <w:t>2.015,00</w:t>
            </w:r>
          </w:p>
        </w:tc>
      </w:tr>
      <w:tr>
        <w:trPr>
          <w:trHeight w:val="292" w:hRule="atLeast"/>
        </w:trPr>
        <w:tc>
          <w:tcPr>
            <w:tcW w:w="7464"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color w:val="auto"/>
                <w:sz w:val="22"/>
                <w:szCs w:val="22"/>
              </w:rPr>
            </w:pPr>
            <w:r>
              <w:rPr>
                <w:rFonts w:ascii="Arial" w:hAnsi="Arial"/>
                <w:color w:val="auto"/>
                <w:sz w:val="22"/>
                <w:szCs w:val="22"/>
              </w:rPr>
              <w:t xml:space="preserve"> </w:t>
            </w:r>
            <w:r>
              <w:rPr>
                <w:rFonts w:ascii="Arial" w:hAnsi="Arial"/>
                <w:color w:val="auto"/>
                <w:sz w:val="22"/>
                <w:szCs w:val="22"/>
              </w:rPr>
              <w:t>- utilizzi</w:t>
            </w:r>
          </w:p>
        </w:tc>
        <w:tc>
          <w:tcPr>
            <w:tcW w:w="1315" w:type="dxa"/>
            <w:tcBorders>
              <w:left w:val="single" w:sz="2" w:space="0" w:color="000000"/>
              <w:bottom w:val="single" w:sz="2" w:space="0" w:color="000000"/>
              <w:right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 </w:t>
            </w:r>
            <w:r>
              <w:rPr>
                <w:rFonts w:ascii="Arial" w:hAnsi="Arial"/>
                <w:color w:val="auto"/>
                <w:sz w:val="22"/>
                <w:szCs w:val="22"/>
              </w:rPr>
              <w:t>15.550,00</w:t>
            </w:r>
          </w:p>
        </w:tc>
      </w:tr>
      <w:tr>
        <w:trPr>
          <w:trHeight w:val="292" w:hRule="atLeast"/>
        </w:trPr>
        <w:tc>
          <w:tcPr>
            <w:tcW w:w="7464"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color w:val="auto"/>
                <w:sz w:val="22"/>
                <w:szCs w:val="22"/>
              </w:rPr>
            </w:pPr>
            <w:r>
              <w:rPr>
                <w:rFonts w:ascii="Arial" w:hAnsi="Arial"/>
                <w:b/>
                <w:color w:val="auto"/>
                <w:sz w:val="22"/>
                <w:szCs w:val="22"/>
              </w:rPr>
              <w:t>TOTALE ACCANTONAMENTO FONDO INDENNITA' FINE MANDATO</w:t>
            </w:r>
          </w:p>
        </w:tc>
        <w:tc>
          <w:tcPr>
            <w:tcW w:w="1315" w:type="dxa"/>
            <w:tcBorders>
              <w:left w:val="single" w:sz="2" w:space="0" w:color="000000"/>
              <w:bottom w:val="single" w:sz="2" w:space="0" w:color="000000"/>
              <w:right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 </w:t>
            </w:r>
            <w:r>
              <w:rPr>
                <w:rFonts w:ascii="Arial" w:hAnsi="Arial"/>
                <w:color w:val="auto"/>
                <w:sz w:val="22"/>
                <w:szCs w:val="22"/>
              </w:rPr>
              <w:t>2.015,00</w:t>
            </w:r>
          </w:p>
        </w:tc>
      </w:tr>
    </w:tbl>
    <w:p>
      <w:pPr>
        <w:pStyle w:val="Normal"/>
        <w:widowControl w:val="false"/>
        <w:overflowPunct w:val="true"/>
        <w:spacing w:lineRule="auto" w:line="240" w:before="0" w:after="120"/>
        <w:textAlignment w:val="baseline"/>
        <w:rPr>
          <w:rFonts w:ascii="Arial" w:hAnsi="Arial" w:eastAsia="Times New Roman" w:cs="Arial"/>
          <w:bCs/>
          <w:color w:val="auto"/>
          <w:szCs w:val="22"/>
          <w:lang w:eastAsia="it-IT"/>
        </w:rPr>
      </w:pPr>
      <w:r>
        <w:rPr>
          <w:rFonts w:eastAsia="Times New Roman" w:cs="Arial" w:ascii="Arial" w:hAnsi="Arial"/>
          <w:bCs/>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bCs/>
          <w:color w:val="auto"/>
          <w:szCs w:val="22"/>
          <w:lang w:eastAsia="it-IT"/>
        </w:rPr>
      </w:pPr>
      <w:r>
        <w:rPr>
          <w:rFonts w:eastAsia="Times New Roman" w:cs="Arial" w:ascii="Arial" w:hAnsi="Arial"/>
          <w:bCs/>
          <w:color w:val="auto"/>
          <w:szCs w:val="22"/>
          <w:lang w:eastAsia="it-IT"/>
        </w:rPr>
        <w:t xml:space="preserve">Le quote accantonate </w:t>
      </w:r>
      <w:r>
        <w:rPr>
          <w:rFonts w:eastAsia="Times New Roman" w:cs="Arial" w:ascii="Arial" w:hAnsi="Arial"/>
          <w:b/>
          <w:i/>
          <w:iCs/>
          <w:color w:val="auto"/>
          <w:szCs w:val="22"/>
          <w:lang w:eastAsia="it-IT"/>
        </w:rPr>
        <w:t>risultano</w:t>
      </w:r>
      <w:r>
        <w:rPr>
          <w:rFonts w:eastAsia="Times New Roman" w:cs="Arial" w:ascii="Arial" w:hAnsi="Arial"/>
          <w:bCs/>
          <w:color w:val="auto"/>
          <w:szCs w:val="22"/>
          <w:lang w:eastAsia="it-IT"/>
        </w:rPr>
        <w:t xml:space="preserve"> congrue.</w:t>
      </w:r>
    </w:p>
    <w:p>
      <w:pPr>
        <w:pStyle w:val="Titolo3"/>
        <w:numPr>
          <w:ilvl w:val="2"/>
          <w:numId w:val="85"/>
        </w:numPr>
        <w:ind w:left="1484" w:hanging="633"/>
        <w:rPr/>
      </w:pPr>
      <w:bookmarkStart w:id="65" w:name="_Toc192666986"/>
      <w:bookmarkStart w:id="66" w:name="_Toc130056256"/>
      <w:r>
        <w:rPr/>
        <w:t>Fondo garanzia debiti commerciali</w:t>
      </w:r>
      <w:bookmarkEnd w:id="65"/>
      <w:bookmarkEnd w:id="66"/>
    </w:p>
    <w:p>
      <w:pPr>
        <w:pStyle w:val="Normal"/>
        <w:spacing w:lineRule="auto" w:line="240" w:before="0" w:after="0"/>
        <w:rPr>
          <w:rFonts w:ascii="Arial" w:hAnsi="Arial" w:eastAsia="Times New Roman" w:cs="Arial"/>
          <w:bCs/>
          <w:color w:val="auto"/>
          <w:szCs w:val="20"/>
          <w:lang w:eastAsia="it-IT"/>
        </w:rPr>
      </w:pPr>
      <w:r>
        <w:rPr>
          <w:rFonts w:eastAsia="Times New Roman" w:cs="Arial" w:ascii="Arial" w:hAnsi="Arial"/>
          <w:bCs/>
          <w:color w:val="auto"/>
          <w:szCs w:val="20"/>
          <w:lang w:eastAsia="it-IT"/>
        </w:rPr>
        <w:t xml:space="preserve">L’Ente presenta uno stock di debito risultante dalla piattaforma al 31 dicembre 2024 pari a euro 262.436,94 </w:t>
      </w:r>
      <w:r>
        <w:rPr>
          <w:rFonts w:eastAsia="Times New Roman" w:cs="Arial" w:ascii="Arial" w:hAnsi="Arial"/>
          <w:bCs/>
          <w:color w:val="auto" w:themeColor="text1" w:themeTint="bf"/>
          <w:position w:val="0"/>
          <w:sz w:val="22"/>
          <w:sz w:val="22"/>
          <w:szCs w:val="22"/>
          <w:vertAlign w:val="baseline"/>
          <w:lang w:eastAsia="it-IT"/>
        </w:rPr>
        <w:t>e l'indicatore di ritardo dei pagamenti 2024, calcolato in relazione alle disposizioni normative, evidenzia un parametro negativo alla luce di pagamenti commerciali ordinariamente anticipati rispetto alle scadenze contrattuali (-16 giorni) – deliberazione della Giunta comunale n. 16 del 29.01.2025.</w:t>
      </w:r>
    </w:p>
    <w:p>
      <w:pPr>
        <w:pStyle w:val="Normal"/>
        <w:spacing w:lineRule="auto" w:line="240" w:before="0" w:after="0"/>
        <w:rPr>
          <w:rFonts w:ascii="Arial" w:hAnsi="Arial" w:eastAsia="Times New Roman" w:cs="Arial"/>
          <w:bCs/>
          <w:color w:val="auto"/>
          <w:szCs w:val="20"/>
          <w:lang w:eastAsia="it-IT"/>
        </w:rPr>
      </w:pPr>
      <w:r>
        <w:rPr>
          <w:rFonts w:eastAsia="Times New Roman" w:cs="Arial" w:ascii="Arial" w:hAnsi="Arial"/>
          <w:bCs/>
          <w:color w:val="auto"/>
          <w:szCs w:val="20"/>
          <w:lang w:eastAsia="it-IT"/>
        </w:rPr>
      </w:r>
    </w:p>
    <w:p>
      <w:pPr>
        <w:pStyle w:val="Normal"/>
        <w:spacing w:lineRule="auto" w:line="240" w:before="0" w:after="0"/>
        <w:rPr>
          <w:rFonts w:ascii="Arial" w:hAnsi="Arial" w:eastAsia="Times New Roman" w:cs="Arial"/>
          <w:bCs/>
          <w:color w:val="auto"/>
          <w:szCs w:val="20"/>
          <w:lang w:eastAsia="it-IT"/>
        </w:rPr>
      </w:pPr>
      <w:r>
        <w:rPr>
          <w:rFonts w:eastAsia="Times New Roman" w:cs="Arial" w:ascii="Arial" w:hAnsi="Arial"/>
          <w:bCs/>
          <w:color w:val="auto"/>
          <w:szCs w:val="20"/>
          <w:lang w:eastAsia="it-IT"/>
        </w:rPr>
        <w:t xml:space="preserve">L’Organo di revisione, dal raffronto tra l’ammontare dei residui passivi conservati al 31 dicembre 2024, con esclusioni di debiti di natura non commerciale, e lo stock del debito commerciale alla stessa data, </w:t>
      </w:r>
      <w:r>
        <w:rPr>
          <w:rFonts w:eastAsia="Times New Roman" w:cs="Arial" w:ascii="Arial" w:hAnsi="Arial"/>
          <w:b/>
          <w:i/>
          <w:iCs/>
          <w:color w:val="auto"/>
          <w:szCs w:val="20"/>
          <w:lang w:eastAsia="it-IT"/>
        </w:rPr>
        <w:t xml:space="preserve">ritiene </w:t>
      </w:r>
      <w:r>
        <w:rPr>
          <w:rFonts w:eastAsia="Times New Roman" w:cs="Arial" w:ascii="Arial" w:hAnsi="Arial"/>
          <w:bCs/>
          <w:color w:val="auto"/>
          <w:szCs w:val="20"/>
          <w:lang w:eastAsia="it-IT"/>
        </w:rPr>
        <w:t>adeguata la conservazione dei residui.</w:t>
      </w:r>
    </w:p>
    <w:p>
      <w:pPr>
        <w:pStyle w:val="Normal"/>
        <w:spacing w:lineRule="auto" w:line="240" w:before="0" w:after="0"/>
        <w:jc w:val="left"/>
        <w:rPr>
          <w:rFonts w:ascii="Arial" w:hAnsi="Arial" w:eastAsia="Times New Roman" w:cs="Arial"/>
          <w:b/>
          <w:b/>
          <w:i/>
          <w:i/>
          <w:iCs/>
          <w:color w:val="00B0F0"/>
          <w:szCs w:val="20"/>
          <w:lang w:eastAsia="it-IT"/>
        </w:rPr>
      </w:pPr>
      <w:r>
        <w:rPr>
          <w:rFonts w:eastAsia="Times New Roman" w:cs="Arial" w:ascii="Arial" w:hAnsi="Arial"/>
          <w:b/>
          <w:i/>
          <w:iCs/>
          <w:color w:val="00B0F0"/>
          <w:szCs w:val="20"/>
          <w:lang w:eastAsia="it-IT"/>
        </w:rPr>
      </w:r>
    </w:p>
    <w:p>
      <w:pPr>
        <w:pStyle w:val="Normal"/>
        <w:spacing w:lineRule="auto" w:line="240" w:before="0" w:after="0"/>
        <w:jc w:val="left"/>
        <w:rPr>
          <w:rFonts w:ascii="Arial" w:hAnsi="Arial" w:eastAsia="Times New Roman" w:cs="Arial"/>
          <w:bCs/>
          <w:i/>
          <w:i/>
          <w:iCs/>
          <w:color w:val="00B0F0"/>
          <w:szCs w:val="20"/>
          <w:lang w:eastAsia="it-IT"/>
        </w:rPr>
      </w:pPr>
      <w:r>
        <w:rPr>
          <w:rFonts w:eastAsia="Times New Roman" w:cs="Arial" w:ascii="Arial" w:hAnsi="Arial"/>
          <w:bCs/>
          <w:i/>
          <w:iCs/>
          <w:color w:val="00B0F0"/>
          <w:szCs w:val="20"/>
          <w:lang w:eastAsia="it-IT"/>
        </w:rPr>
      </w:r>
    </w:p>
    <w:p>
      <w:pPr>
        <w:pStyle w:val="Titolo3"/>
        <w:numPr>
          <w:ilvl w:val="2"/>
          <w:numId w:val="86"/>
        </w:numPr>
        <w:ind w:left="1484" w:hanging="633"/>
        <w:rPr/>
      </w:pPr>
      <w:bookmarkStart w:id="67" w:name="_Toc130056255"/>
      <w:bookmarkStart w:id="68" w:name="_Toc192666987"/>
      <w:r>
        <w:rPr/>
        <w:t>Altri fondi e accantonamenti</w:t>
      </w:r>
      <w:bookmarkEnd w:id="67"/>
      <w:bookmarkEnd w:id="68"/>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L’Organo di revisione ha verificato che le quote accantonate al fondo per i rinnovi contrattuali </w:t>
      </w:r>
      <w:r>
        <w:rPr>
          <w:rFonts w:eastAsia="Times New Roman" w:cs="Arial" w:ascii="Arial" w:hAnsi="Arial"/>
          <w:b/>
          <w:bCs/>
          <w:i/>
          <w:iCs/>
          <w:color w:val="auto"/>
          <w:szCs w:val="22"/>
          <w:lang w:eastAsia="it-IT"/>
        </w:rPr>
        <w:t>sono</w:t>
      </w:r>
      <w:r>
        <w:rPr>
          <w:rFonts w:eastAsia="Times New Roman" w:cs="Arial" w:ascii="Arial" w:hAnsi="Arial"/>
          <w:color w:val="auto"/>
          <w:szCs w:val="22"/>
          <w:lang w:eastAsia="it-IT"/>
        </w:rPr>
        <w:t xml:space="preserve"> congrue (Euro 410.000,00 oneri riflessi compresi).</w:t>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L’Organo di revisione ha verificato la congruità degli accantonamenti in uno specifico fondo per le passività potenziali probabili. </w:t>
      </w:r>
    </w:p>
    <w:p>
      <w:pPr>
        <w:pStyle w:val="Normal"/>
        <w:widowControl w:val="false"/>
        <w:overflowPunct w:val="true"/>
        <w:spacing w:lineRule="auto" w:line="240" w:before="0" w:after="120"/>
        <w:textAlignment w:val="baseline"/>
        <w:rPr>
          <w:rFonts w:ascii="Arial" w:hAnsi="Arial" w:eastAsia="Times New Roman" w:cs="Arial"/>
          <w:i/>
          <w:i/>
          <w:color w:val="auto"/>
          <w:sz w:val="20"/>
          <w:szCs w:val="20"/>
          <w:lang w:eastAsia="it-IT"/>
        </w:rPr>
      </w:pPr>
      <w:r>
        <w:rPr>
          <w:rFonts w:eastAsia="Times New Roman" w:cs="Arial" w:ascii="Arial" w:hAnsi="Arial"/>
          <w:i/>
          <w:color w:val="auto"/>
          <w:sz w:val="20"/>
          <w:szCs w:val="20"/>
          <w:lang w:eastAsia="it-IT"/>
        </w:rPr>
      </w:r>
    </w:p>
    <w:tbl>
      <w:tblPr>
        <w:tblW w:w="9060"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6797"/>
        <w:gridCol w:w="2262"/>
      </w:tblGrid>
      <w:tr>
        <w:trPr/>
        <w:tc>
          <w:tcPr>
            <w:tcW w:w="679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jc w:val="center"/>
              <w:textAlignment w:val="baseline"/>
              <w:rPr>
                <w:rFonts w:ascii="Arial" w:hAnsi="Arial" w:eastAsia="Times New Roman" w:cs="Arial"/>
                <w:b/>
                <w:b/>
                <w:bCs/>
                <w:i/>
                <w:i/>
                <w:color w:val="auto"/>
                <w:szCs w:val="22"/>
                <w:lang w:eastAsia="it-IT"/>
              </w:rPr>
            </w:pPr>
            <w:r>
              <w:rPr>
                <w:rFonts w:eastAsia="Times New Roman" w:cs="Arial" w:ascii="Arial" w:hAnsi="Arial"/>
                <w:b/>
                <w:bCs/>
                <w:i/>
                <w:color w:val="auto"/>
                <w:szCs w:val="22"/>
                <w:lang w:eastAsia="it-IT"/>
              </w:rPr>
              <w:t>Natura del Fondo</w:t>
            </w:r>
          </w:p>
        </w:tc>
        <w:tc>
          <w:tcPr>
            <w:tcW w:w="22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jc w:val="center"/>
              <w:textAlignment w:val="baseline"/>
              <w:rPr>
                <w:rFonts w:ascii="Arial" w:hAnsi="Arial" w:eastAsia="Times New Roman" w:cs="Arial"/>
                <w:b/>
                <w:b/>
                <w:bCs/>
                <w:i/>
                <w:i/>
                <w:color w:val="auto"/>
                <w:szCs w:val="22"/>
                <w:lang w:eastAsia="it-IT"/>
              </w:rPr>
            </w:pPr>
            <w:r>
              <w:rPr>
                <w:rFonts w:eastAsia="Times New Roman" w:cs="Arial" w:ascii="Arial" w:hAnsi="Arial"/>
                <w:b/>
                <w:bCs/>
                <w:i/>
                <w:color w:val="auto"/>
                <w:szCs w:val="22"/>
                <w:lang w:eastAsia="it-IT"/>
              </w:rPr>
              <w:t>Importo</w:t>
            </w:r>
          </w:p>
        </w:tc>
      </w:tr>
      <w:tr>
        <w:trPr/>
        <w:tc>
          <w:tcPr>
            <w:tcW w:w="679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200"/>
              <w:jc w:val="both"/>
              <w:rPr>
                <w:rFonts w:ascii="Arial" w:hAnsi="Arial"/>
                <w:b w:val="false"/>
                <w:b w:val="false"/>
                <w:bCs w:val="false"/>
                <w:i w:val="false"/>
                <w:i w:val="false"/>
                <w:iCs w:val="false"/>
                <w:color w:val="auto"/>
                <w:sz w:val="18"/>
                <w:szCs w:val="18"/>
              </w:rPr>
            </w:pPr>
            <w:r>
              <w:rPr>
                <w:rFonts w:ascii="Arial" w:hAnsi="Arial"/>
                <w:b w:val="false"/>
                <w:bCs w:val="false"/>
                <w:i w:val="false"/>
                <w:iCs w:val="false"/>
                <w:color w:val="auto"/>
                <w:sz w:val="18"/>
                <w:szCs w:val="18"/>
              </w:rPr>
              <w:t xml:space="preserve">trasferimento quota provinciale su erogazioni ministeriali per servizio rifiuti istituzioni </w:t>
            </w:r>
            <w:r>
              <w:rPr>
                <w:rFonts w:eastAsia="Times New Roman" w:cs="Arial" w:ascii="Arial" w:hAnsi="Arial"/>
                <w:b w:val="false"/>
                <w:bCs w:val="false"/>
                <w:i w:val="false"/>
                <w:iCs w:val="false"/>
                <w:color w:val="auto"/>
                <w:sz w:val="18"/>
                <w:szCs w:val="18"/>
                <w:lang w:eastAsia="it-IT"/>
              </w:rPr>
              <w:t>scolastiche</w:t>
            </w:r>
          </w:p>
        </w:tc>
        <w:tc>
          <w:tcPr>
            <w:tcW w:w="22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jc w:val="right"/>
              <w:textAlignment w:val="baseline"/>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t>5.700,00</w:t>
            </w:r>
          </w:p>
        </w:tc>
      </w:tr>
      <w:tr>
        <w:trPr/>
        <w:tc>
          <w:tcPr>
            <w:tcW w:w="679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200"/>
              <w:jc w:val="left"/>
              <w:rPr>
                <w:rFonts w:ascii="Arial" w:hAnsi="Arial"/>
                <w:b w:val="false"/>
                <w:b w:val="false"/>
                <w:bCs w:val="false"/>
                <w:i w:val="false"/>
                <w:i w:val="false"/>
                <w:iCs w:val="false"/>
                <w:color w:val="auto"/>
                <w:sz w:val="18"/>
                <w:szCs w:val="18"/>
              </w:rPr>
            </w:pPr>
            <w:r>
              <w:rPr>
                <w:rFonts w:ascii="Arial" w:hAnsi="Arial"/>
                <w:b w:val="false"/>
                <w:bCs w:val="false"/>
                <w:i w:val="false"/>
                <w:iCs w:val="false"/>
                <w:color w:val="auto"/>
                <w:sz w:val="18"/>
                <w:szCs w:val="18"/>
              </w:rPr>
              <w:t xml:space="preserve">rimborsi in conto capitale ad imprese di somme non dovute od incassate in eccesso </w:t>
            </w:r>
            <w:r>
              <w:rPr>
                <w:rFonts w:eastAsia="Times New Roman" w:cs="Arial" w:ascii="Arial" w:hAnsi="Arial"/>
                <w:b w:val="false"/>
                <w:bCs w:val="false"/>
                <w:i w:val="false"/>
                <w:iCs w:val="false"/>
                <w:color w:val="auto"/>
                <w:sz w:val="18"/>
                <w:szCs w:val="18"/>
                <w:lang w:eastAsia="it-IT"/>
              </w:rPr>
              <w:t>(permessi di costruire)</w:t>
            </w:r>
          </w:p>
        </w:tc>
        <w:tc>
          <w:tcPr>
            <w:tcW w:w="22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jc w:val="right"/>
              <w:textAlignment w:val="baseline"/>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t>219.875,76</w:t>
            </w:r>
          </w:p>
        </w:tc>
      </w:tr>
      <w:tr>
        <w:trPr/>
        <w:tc>
          <w:tcPr>
            <w:tcW w:w="679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textAlignment w:val="baseline"/>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t>spese potenziali per riscatto impianti della pubblica illuminazione</w:t>
            </w:r>
          </w:p>
        </w:tc>
        <w:tc>
          <w:tcPr>
            <w:tcW w:w="22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jc w:val="right"/>
              <w:textAlignment w:val="baseline"/>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t>300.000,00</w:t>
            </w:r>
          </w:p>
        </w:tc>
      </w:tr>
      <w:tr>
        <w:trPr/>
        <w:tc>
          <w:tcPr>
            <w:tcW w:w="6797" w:type="dxa"/>
            <w:tcBorders>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textAlignment w:val="baseline"/>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t>spese potenziali di adeguamento prezzi - lavori pubblici/investimenti</w:t>
            </w:r>
          </w:p>
        </w:tc>
        <w:tc>
          <w:tcPr>
            <w:tcW w:w="2262" w:type="dxa"/>
            <w:tcBorders>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jc w:val="right"/>
              <w:textAlignment w:val="baseline"/>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t>20.000,00</w:t>
            </w:r>
          </w:p>
        </w:tc>
      </w:tr>
      <w:tr>
        <w:trPr/>
        <w:tc>
          <w:tcPr>
            <w:tcW w:w="6797" w:type="dxa"/>
            <w:tcBorders>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textAlignment w:val="baseline"/>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t>spese potenziali in conto capitale quali restituzioni proventi da alienazioni</w:t>
            </w:r>
          </w:p>
        </w:tc>
        <w:tc>
          <w:tcPr>
            <w:tcW w:w="2262" w:type="dxa"/>
            <w:tcBorders>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jc w:val="right"/>
              <w:textAlignment w:val="baseline"/>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t>13.000,00</w:t>
            </w:r>
          </w:p>
        </w:tc>
      </w:tr>
      <w:tr>
        <w:trPr/>
        <w:tc>
          <w:tcPr>
            <w:tcW w:w="6797" w:type="dxa"/>
            <w:tcBorders>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textAlignment w:val="baseline"/>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t>sgravi, restituzioni e compensazioni tributi non dovuti o pagati in eccesso</w:t>
            </w:r>
          </w:p>
        </w:tc>
        <w:tc>
          <w:tcPr>
            <w:tcW w:w="2262" w:type="dxa"/>
            <w:tcBorders>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jc w:val="right"/>
              <w:textAlignment w:val="baseline"/>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t>112.000,00</w:t>
            </w:r>
          </w:p>
        </w:tc>
      </w:tr>
      <w:tr>
        <w:trPr/>
        <w:tc>
          <w:tcPr>
            <w:tcW w:w="679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200"/>
              <w:jc w:val="left"/>
              <w:rPr>
                <w:rFonts w:ascii="Arial" w:hAnsi="Arial"/>
                <w:b w:val="false"/>
                <w:b w:val="false"/>
                <w:bCs w:val="false"/>
                <w:i w:val="false"/>
                <w:i w:val="false"/>
                <w:iCs w:val="false"/>
                <w:color w:val="auto"/>
                <w:sz w:val="18"/>
                <w:szCs w:val="18"/>
              </w:rPr>
            </w:pPr>
            <w:r>
              <w:rPr>
                <w:rFonts w:ascii="Arial" w:hAnsi="Arial"/>
                <w:b w:val="false"/>
                <w:bCs w:val="false"/>
                <w:i w:val="false"/>
                <w:iCs w:val="false"/>
                <w:color w:val="auto"/>
                <w:sz w:val="18"/>
                <w:szCs w:val="18"/>
              </w:rPr>
              <w:t xml:space="preserve">spese per riscossione ruoli (aggi e compensi su entrate patrimoniali, tributarie e </w:t>
            </w:r>
            <w:r>
              <w:rPr>
                <w:rFonts w:eastAsia="Times New Roman" w:cs="Arial" w:ascii="Arial" w:hAnsi="Arial"/>
                <w:b w:val="false"/>
                <w:bCs w:val="false"/>
                <w:i w:val="false"/>
                <w:iCs w:val="false"/>
                <w:color w:val="auto"/>
                <w:sz w:val="18"/>
                <w:szCs w:val="18"/>
                <w:lang w:eastAsia="it-IT"/>
              </w:rPr>
              <w:t>sanzioni amministrative codice della strada)</w:t>
            </w:r>
          </w:p>
        </w:tc>
        <w:tc>
          <w:tcPr>
            <w:tcW w:w="2262" w:type="dxa"/>
            <w:tcBorders>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jc w:val="right"/>
              <w:textAlignment w:val="baseline"/>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t>700.000,00</w:t>
            </w:r>
          </w:p>
        </w:tc>
      </w:tr>
      <w:tr>
        <w:trPr/>
        <w:tc>
          <w:tcPr>
            <w:tcW w:w="6797" w:type="dxa"/>
            <w:tcBorders>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textAlignment w:val="baseline"/>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t>spese potenziali per risarcimento danni</w:t>
            </w:r>
          </w:p>
        </w:tc>
        <w:tc>
          <w:tcPr>
            <w:tcW w:w="2262" w:type="dxa"/>
            <w:tcBorders>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jc w:val="right"/>
              <w:textAlignment w:val="baseline"/>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t>40.000,00</w:t>
            </w:r>
          </w:p>
        </w:tc>
      </w:tr>
      <w:tr>
        <w:trPr/>
        <w:tc>
          <w:tcPr>
            <w:tcW w:w="679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200"/>
              <w:jc w:val="both"/>
              <w:rPr>
                <w:rFonts w:ascii="Arial" w:hAnsi="Arial"/>
                <w:b w:val="false"/>
                <w:b w:val="false"/>
                <w:bCs w:val="false"/>
                <w:i w:val="false"/>
                <w:i w:val="false"/>
                <w:iCs w:val="false"/>
                <w:color w:val="auto"/>
                <w:sz w:val="18"/>
                <w:szCs w:val="18"/>
              </w:rPr>
            </w:pPr>
            <w:r>
              <w:rPr>
                <w:rFonts w:ascii="Arial" w:hAnsi="Arial"/>
                <w:b w:val="false"/>
                <w:bCs w:val="false"/>
                <w:i w:val="false"/>
                <w:iCs w:val="false"/>
                <w:color w:val="auto"/>
                <w:sz w:val="18"/>
                <w:szCs w:val="18"/>
              </w:rPr>
              <w:t xml:space="preserve">spese potenziali per interventi di manutenzione anche straordinaria – cronoprogramma </w:t>
            </w:r>
            <w:r>
              <w:rPr>
                <w:rFonts w:eastAsia="Times New Roman" w:cs="Arial" w:ascii="Arial" w:hAnsi="Arial"/>
                <w:b w:val="false"/>
                <w:bCs w:val="false"/>
                <w:i w:val="false"/>
                <w:iCs w:val="false"/>
                <w:color w:val="auto"/>
                <w:sz w:val="18"/>
                <w:szCs w:val="18"/>
                <w:lang w:eastAsia="it-IT"/>
              </w:rPr>
              <w:t>obiettivi di servizio 2022-2023 (trasporto studenti con disabilità)</w:t>
            </w:r>
          </w:p>
        </w:tc>
        <w:tc>
          <w:tcPr>
            <w:tcW w:w="2262" w:type="dxa"/>
            <w:tcBorders>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jc w:val="right"/>
              <w:textAlignment w:val="baseline"/>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t>51.094,68</w:t>
            </w:r>
          </w:p>
        </w:tc>
      </w:tr>
      <w:tr>
        <w:trPr/>
        <w:tc>
          <w:tcPr>
            <w:tcW w:w="679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200"/>
              <w:jc w:val="left"/>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t>spese per diritti di rogito - oneri riflessi compresi</w:t>
            </w:r>
          </w:p>
        </w:tc>
        <w:tc>
          <w:tcPr>
            <w:tcW w:w="2262" w:type="dxa"/>
            <w:tcBorders>
              <w:left w:val="single" w:sz="4" w:space="0" w:color="000000"/>
              <w:bottom w:val="single" w:sz="4" w:space="0" w:color="000000"/>
              <w:right w:val="single" w:sz="4" w:space="0" w:color="000000"/>
            </w:tcBorders>
            <w:shd w:color="auto" w:fill="auto" w:val="clear"/>
          </w:tcPr>
          <w:p>
            <w:pPr>
              <w:pStyle w:val="Normal"/>
              <w:widowControl w:val="false"/>
              <w:overflowPunct w:val="true"/>
              <w:spacing w:lineRule="auto" w:line="240" w:before="0" w:after="120"/>
              <w:jc w:val="right"/>
              <w:textAlignment w:val="baseline"/>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t>10.000,00</w:t>
            </w:r>
          </w:p>
          <w:p>
            <w:pPr>
              <w:pStyle w:val="Normal"/>
              <w:widowControl w:val="false"/>
              <w:overflowPunct w:val="true"/>
              <w:spacing w:lineRule="auto" w:line="240" w:before="0" w:after="120"/>
              <w:jc w:val="right"/>
              <w:textAlignment w:val="baseline"/>
              <w:rPr>
                <w:rFonts w:ascii="Arial" w:hAnsi="Arial" w:eastAsia="Times New Roman" w:cs="Arial"/>
                <w:b w:val="false"/>
                <w:b w:val="false"/>
                <w:bCs w:val="false"/>
                <w:i w:val="false"/>
                <w:i w:val="false"/>
                <w:iCs w:val="false"/>
                <w:color w:val="auto"/>
                <w:sz w:val="18"/>
                <w:szCs w:val="18"/>
                <w:lang w:eastAsia="it-IT"/>
              </w:rPr>
            </w:pPr>
            <w:r>
              <w:rPr>
                <w:rFonts w:eastAsia="Times New Roman" w:cs="Arial" w:ascii="Arial" w:hAnsi="Arial"/>
                <w:b w:val="false"/>
                <w:bCs w:val="false"/>
                <w:i w:val="false"/>
                <w:iCs w:val="false"/>
                <w:color w:val="auto"/>
                <w:sz w:val="18"/>
                <w:szCs w:val="18"/>
                <w:lang w:eastAsia="it-IT"/>
              </w:rPr>
            </w:r>
          </w:p>
        </w:tc>
      </w:tr>
    </w:tbl>
    <w:p>
      <w:pPr>
        <w:pStyle w:val="Normal"/>
        <w:widowControl w:val="false"/>
        <w:overflowPunct w:val="true"/>
        <w:spacing w:lineRule="auto" w:line="240" w:before="0" w:after="120"/>
        <w:textAlignment w:val="baseline"/>
        <w:rPr>
          <w:rFonts w:ascii="Arial" w:hAnsi="Arial" w:eastAsia="Times New Roman" w:cs="Arial"/>
          <w:i/>
          <w:i/>
          <w:color w:val="auto"/>
          <w:sz w:val="20"/>
          <w:szCs w:val="20"/>
          <w:lang w:eastAsia="it-IT"/>
        </w:rPr>
      </w:pPr>
      <w:r>
        <w:rPr>
          <w:rFonts w:eastAsia="Times New Roman" w:cs="Arial" w:ascii="Arial" w:hAnsi="Arial"/>
          <w:i/>
          <w:color w:val="auto"/>
          <w:sz w:val="20"/>
          <w:szCs w:val="20"/>
          <w:lang w:eastAsia="it-IT"/>
        </w:rPr>
      </w:r>
    </w:p>
    <w:p>
      <w:pPr>
        <w:pStyle w:val="Titolo2"/>
        <w:numPr>
          <w:ilvl w:val="1"/>
          <w:numId w:val="87"/>
        </w:numPr>
        <w:ind w:left="851" w:hanging="491"/>
        <w:rPr/>
      </w:pPr>
      <w:bookmarkStart w:id="69" w:name="_Toc192666988"/>
      <w:bookmarkStart w:id="70" w:name="_Toc130060188"/>
      <w:bookmarkStart w:id="71" w:name="_Toc130056257"/>
      <w:bookmarkStart w:id="72" w:name="_MON_1612021876"/>
      <w:bookmarkEnd w:id="72"/>
      <w:r>
        <w:rPr/>
        <w:t>Analisi delle entrate e delle spese</w:t>
      </w:r>
      <w:bookmarkEnd w:id="69"/>
      <w:bookmarkEnd w:id="70"/>
      <w:bookmarkEnd w:id="71"/>
    </w:p>
    <w:p>
      <w:pPr>
        <w:pStyle w:val="Titolo3"/>
        <w:numPr>
          <w:ilvl w:val="2"/>
          <w:numId w:val="88"/>
        </w:numPr>
        <w:ind w:left="1484" w:hanging="633"/>
        <w:rPr/>
      </w:pPr>
      <w:bookmarkStart w:id="73" w:name="_Toc192666989"/>
      <w:bookmarkStart w:id="74" w:name="_Toc130056258"/>
      <w:r>
        <w:rPr/>
        <w:t>Entrate</w:t>
      </w:r>
      <w:bookmarkEnd w:id="73"/>
      <w:bookmarkEnd w:id="74"/>
    </w:p>
    <w:p>
      <w:pPr>
        <w:pStyle w:val="Normal"/>
        <w:widowControl w:val="false"/>
        <w:overflowPunct w:val="true"/>
        <w:spacing w:lineRule="auto" w:line="240" w:before="12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Per quanto riguarda il grado di attendibilità delle previsioni e della capacità di riscossione delle entrate finali emerge che:</w:t>
      </w:r>
    </w:p>
    <w:tbl>
      <w:tblPr>
        <w:tblW w:w="9556" w:type="dxa"/>
        <w:jc w:val="left"/>
        <w:tblInd w:w="-30" w:type="dxa"/>
        <w:tblLayout w:type="fixed"/>
        <w:tblCellMar>
          <w:top w:w="0" w:type="dxa"/>
          <w:left w:w="30" w:type="dxa"/>
          <w:bottom w:w="0" w:type="dxa"/>
          <w:right w:w="30" w:type="dxa"/>
        </w:tblCellMar>
      </w:tblPr>
      <w:tblGrid>
        <w:gridCol w:w="1420"/>
        <w:gridCol w:w="396"/>
        <w:gridCol w:w="1700"/>
        <w:gridCol w:w="1700"/>
        <w:gridCol w:w="1605"/>
        <w:gridCol w:w="1332"/>
        <w:gridCol w:w="1402"/>
      </w:tblGrid>
      <w:tr>
        <w:trPr>
          <w:trHeight w:val="1104" w:hRule="atLeast"/>
        </w:trPr>
        <w:tc>
          <w:tcPr>
            <w:tcW w:w="1816" w:type="dxa"/>
            <w:gridSpan w:val="2"/>
            <w:vMerge w:val="restart"/>
            <w:tcBorders/>
            <w:vAlign w:val="center"/>
          </w:tcPr>
          <w:p>
            <w:pPr>
              <w:pStyle w:val="Normal"/>
              <w:widowControl w:val="false"/>
              <w:tabs>
                <w:tab w:val="clear" w:pos="708"/>
              </w:tabs>
              <w:spacing w:before="0" w:after="200"/>
              <w:jc w:val="center"/>
              <w:rPr>
                <w:b/>
                <w:b/>
                <w:bCs/>
                <w:i w:val="false"/>
                <w:i w:val="false"/>
                <w:iCs w:val="false"/>
                <w:sz w:val="24"/>
                <w:szCs w:val="24"/>
              </w:rPr>
            </w:pPr>
            <w:r>
              <w:rPr>
                <w:b/>
                <w:bCs/>
                <w:iCs w:val="false"/>
                <w:szCs w:val="24"/>
              </w:rPr>
              <w:t>Entrate 2022</w:t>
            </w:r>
          </w:p>
        </w:tc>
        <w:tc>
          <w:tcPr>
            <w:tcW w:w="1700" w:type="dxa"/>
            <w:tcBorders/>
            <w:vAlign w:val="center"/>
          </w:tcPr>
          <w:p>
            <w:pPr>
              <w:pStyle w:val="Normal"/>
              <w:widowControl w:val="false"/>
              <w:tabs>
                <w:tab w:val="clear" w:pos="708"/>
              </w:tabs>
              <w:spacing w:before="0" w:after="200"/>
              <w:jc w:val="center"/>
              <w:rPr>
                <w:b/>
                <w:b/>
                <w:bCs/>
                <w:i w:val="false"/>
                <w:i w:val="false"/>
                <w:iCs w:val="false"/>
                <w:sz w:val="24"/>
                <w:szCs w:val="24"/>
              </w:rPr>
            </w:pPr>
            <w:r>
              <w:rPr>
                <w:b/>
                <w:bCs/>
                <w:iCs w:val="false"/>
                <w:szCs w:val="24"/>
              </w:rPr>
              <w:t>Previsioni iniziali</w:t>
            </w:r>
          </w:p>
        </w:tc>
        <w:tc>
          <w:tcPr>
            <w:tcW w:w="1700" w:type="dxa"/>
            <w:tcBorders/>
            <w:vAlign w:val="center"/>
          </w:tcPr>
          <w:p>
            <w:pPr>
              <w:pStyle w:val="Normal"/>
              <w:widowControl w:val="false"/>
              <w:tabs>
                <w:tab w:val="clear" w:pos="708"/>
              </w:tabs>
              <w:spacing w:before="0" w:after="200"/>
              <w:jc w:val="center"/>
              <w:rPr>
                <w:b/>
                <w:b/>
                <w:bCs/>
                <w:i w:val="false"/>
                <w:i w:val="false"/>
                <w:iCs w:val="false"/>
                <w:sz w:val="24"/>
                <w:szCs w:val="24"/>
              </w:rPr>
            </w:pPr>
            <w:r>
              <w:rPr>
                <w:b/>
                <w:bCs/>
                <w:iCs w:val="false"/>
                <w:szCs w:val="24"/>
              </w:rPr>
              <w:t>Previsioni definitive</w:t>
            </w:r>
          </w:p>
        </w:tc>
        <w:tc>
          <w:tcPr>
            <w:tcW w:w="1605" w:type="dxa"/>
            <w:tcBorders/>
            <w:vAlign w:val="center"/>
          </w:tcPr>
          <w:p>
            <w:pPr>
              <w:pStyle w:val="Normal"/>
              <w:widowControl w:val="false"/>
              <w:tabs>
                <w:tab w:val="clear" w:pos="708"/>
              </w:tabs>
              <w:spacing w:before="0" w:after="200"/>
              <w:jc w:val="center"/>
              <w:rPr>
                <w:b/>
                <w:b/>
                <w:bCs/>
                <w:i w:val="false"/>
                <w:i w:val="false"/>
                <w:iCs w:val="false"/>
                <w:sz w:val="24"/>
                <w:szCs w:val="24"/>
              </w:rPr>
            </w:pPr>
            <w:r>
              <w:rPr>
                <w:b/>
                <w:bCs/>
                <w:iCs w:val="false"/>
                <w:szCs w:val="24"/>
              </w:rPr>
              <w:t xml:space="preserve">Accertamenti </w:t>
              <w:br/>
            </w:r>
          </w:p>
        </w:tc>
        <w:tc>
          <w:tcPr>
            <w:tcW w:w="1332" w:type="dxa"/>
            <w:tcBorders/>
            <w:vAlign w:val="center"/>
          </w:tcPr>
          <w:p>
            <w:pPr>
              <w:pStyle w:val="Normal"/>
              <w:widowControl w:val="false"/>
              <w:tabs>
                <w:tab w:val="clear" w:pos="708"/>
              </w:tabs>
              <w:spacing w:before="0" w:after="200"/>
              <w:jc w:val="center"/>
              <w:rPr>
                <w:b/>
                <w:b/>
                <w:bCs/>
                <w:i w:val="false"/>
                <w:i w:val="false"/>
                <w:iCs w:val="false"/>
                <w:sz w:val="24"/>
                <w:szCs w:val="24"/>
              </w:rPr>
            </w:pPr>
            <w:r>
              <w:rPr>
                <w:b/>
                <w:bCs/>
                <w:iCs w:val="false"/>
                <w:szCs w:val="24"/>
              </w:rPr>
              <w:t>Accert.ti /Previsioni iniziali</w:t>
              <w:br/>
              <w:t>%</w:t>
            </w:r>
          </w:p>
        </w:tc>
        <w:tc>
          <w:tcPr>
            <w:tcW w:w="1402" w:type="dxa"/>
            <w:tcBorders/>
            <w:vAlign w:val="center"/>
          </w:tcPr>
          <w:p>
            <w:pPr>
              <w:pStyle w:val="Normal"/>
              <w:widowControl w:val="false"/>
              <w:tabs>
                <w:tab w:val="clear" w:pos="708"/>
              </w:tabs>
              <w:spacing w:before="0" w:after="200"/>
              <w:jc w:val="center"/>
              <w:rPr>
                <w:b/>
                <w:b/>
                <w:bCs/>
                <w:i w:val="false"/>
                <w:i w:val="false"/>
                <w:iCs w:val="false"/>
                <w:sz w:val="24"/>
                <w:szCs w:val="24"/>
              </w:rPr>
            </w:pPr>
            <w:r>
              <w:rPr>
                <w:b/>
                <w:bCs/>
                <w:iCs w:val="false"/>
                <w:szCs w:val="24"/>
              </w:rPr>
              <w:t xml:space="preserve">Accert.ti /Previsioni definitive </w:t>
              <w:br/>
              <w:t>%</w:t>
            </w:r>
          </w:p>
        </w:tc>
      </w:tr>
      <w:tr>
        <w:trPr>
          <w:trHeight w:val="288" w:hRule="atLeast"/>
        </w:trPr>
        <w:tc>
          <w:tcPr>
            <w:tcW w:w="1816" w:type="dxa"/>
            <w:gridSpan w:val="2"/>
            <w:vMerge w:val="continue"/>
            <w:tcBorders/>
            <w:vAlign w:val="center"/>
          </w:tcPr>
          <w:p>
            <w:pPr>
              <w:pStyle w:val="Normal"/>
              <w:widowControl w:val="false"/>
              <w:tabs>
                <w:tab w:val="clear" w:pos="708"/>
              </w:tabs>
              <w:spacing w:before="0" w:after="200"/>
              <w:jc w:val="center"/>
              <w:rPr>
                <w:b/>
                <w:b/>
              </w:rPr>
            </w:pPr>
            <w:r>
              <w:rPr>
                <w:b/>
              </w:rPr>
            </w:r>
          </w:p>
        </w:tc>
        <w:tc>
          <w:tcPr>
            <w:tcW w:w="1700"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(A)</w:t>
            </w:r>
          </w:p>
        </w:tc>
        <w:tc>
          <w:tcPr>
            <w:tcW w:w="1700"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(B)</w:t>
            </w:r>
          </w:p>
        </w:tc>
        <w:tc>
          <w:tcPr>
            <w:tcW w:w="1605"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(C)</w:t>
            </w:r>
          </w:p>
        </w:tc>
        <w:tc>
          <w:tcPr>
            <w:tcW w:w="1332"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(C/A*100)</w:t>
            </w:r>
          </w:p>
        </w:tc>
        <w:tc>
          <w:tcPr>
            <w:tcW w:w="1402"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(C/B*100)</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Cs w:val="false"/>
                <w:szCs w:val="24"/>
              </w:rPr>
              <w:t>Titolo 1</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16.314.372,22</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16.353.087,37</w:t>
            </w:r>
          </w:p>
        </w:tc>
        <w:tc>
          <w:tcPr>
            <w:tcW w:w="1605"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16.470.836,50</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100,96</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100,72</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Cs w:val="false"/>
                <w:szCs w:val="24"/>
              </w:rPr>
              <w:t>Titolo 2</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1.672.883,88</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2.638.619,50</w:t>
            </w:r>
          </w:p>
        </w:tc>
        <w:tc>
          <w:tcPr>
            <w:tcW w:w="1605"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2.349.392,56</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140,44</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89,04</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Cs w:val="false"/>
                <w:szCs w:val="24"/>
              </w:rPr>
              <w:t>Titolo 3</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7.000.056,12</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7.746.523,74</w:t>
            </w:r>
          </w:p>
        </w:tc>
        <w:tc>
          <w:tcPr>
            <w:tcW w:w="1605"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7.850.502,73</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112,15</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101,34</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Cs w:val="false"/>
                <w:szCs w:val="24"/>
              </w:rPr>
              <w:t>Titolo 4</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5.700.125,65</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10.006.124,52</w:t>
            </w:r>
          </w:p>
        </w:tc>
        <w:tc>
          <w:tcPr>
            <w:tcW w:w="1605"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2.121.906,53</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37,23</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21,21</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Cs w:val="false"/>
                <w:szCs w:val="24"/>
              </w:rPr>
              <w:t>Titolo 5</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614.751,85</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927.069,11</w:t>
            </w:r>
          </w:p>
        </w:tc>
        <w:tc>
          <w:tcPr>
            <w:tcW w:w="1605"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469.624,85</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76,39</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50,66</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
                <w:iCs w:val="false"/>
                <w:szCs w:val="24"/>
              </w:rPr>
              <w:t>TOTALE</w:t>
            </w:r>
          </w:p>
        </w:tc>
        <w:tc>
          <w:tcPr>
            <w:tcW w:w="1700"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
                <w:bCs w:val="false"/>
                <w:i/>
                <w:iCs w:val="false"/>
                <w:szCs w:val="24"/>
              </w:rPr>
              <w:t>31.302.189,72</w:t>
            </w:r>
          </w:p>
        </w:tc>
        <w:tc>
          <w:tcPr>
            <w:tcW w:w="1700"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
                <w:bCs w:val="false"/>
                <w:i/>
                <w:iCs w:val="false"/>
                <w:szCs w:val="24"/>
              </w:rPr>
              <w:t>37.671.424,24</w:t>
            </w:r>
          </w:p>
        </w:tc>
        <w:tc>
          <w:tcPr>
            <w:tcW w:w="1605"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
                <w:bCs w:val="false"/>
                <w:i/>
                <w:iCs w:val="false"/>
                <w:szCs w:val="24"/>
              </w:rPr>
              <w:t>29.262.263,17</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
                <w:bCs w:val="false"/>
                <w:i/>
                <w:iCs w:val="false"/>
                <w:szCs w:val="24"/>
              </w:rPr>
              <w:t>93,48</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
                <w:bCs w:val="false"/>
                <w:i/>
                <w:iCs w:val="false"/>
                <w:szCs w:val="24"/>
              </w:rPr>
              <w:t>77,68</w:t>
            </w:r>
          </w:p>
        </w:tc>
      </w:tr>
      <w:tr>
        <w:trPr>
          <w:trHeight w:val="288" w:hRule="atLeast"/>
        </w:trPr>
        <w:tc>
          <w:tcPr>
            <w:tcW w:w="1420" w:type="dxa"/>
            <w:tcBorders/>
            <w:vAlign w:val="bottom"/>
          </w:tcPr>
          <w:p>
            <w:pPr>
              <w:pStyle w:val="Normal"/>
              <w:widowControl w:val="false"/>
              <w:tabs>
                <w:tab w:val="clear" w:pos="708"/>
              </w:tabs>
              <w:spacing w:before="0" w:after="200"/>
              <w:jc w:val="left"/>
              <w:rPr>
                <w:b w:val="false"/>
                <w:b w:val="false"/>
                <w:bCs w:val="false"/>
                <w:i w:val="false"/>
                <w:i w:val="false"/>
                <w:iCs w:val="false"/>
                <w:sz w:val="24"/>
                <w:szCs w:val="24"/>
              </w:rPr>
            </w:pPr>
            <w:r>
              <w:rPr>
                <w:b w:val="false"/>
                <w:bCs w:val="false"/>
                <w:i w:val="false"/>
                <w:iCs w:val="false"/>
                <w:sz w:val="24"/>
                <w:szCs w:val="24"/>
              </w:rPr>
            </w:r>
          </w:p>
        </w:tc>
        <w:tc>
          <w:tcPr>
            <w:tcW w:w="396" w:type="dxa"/>
            <w:tcBorders/>
            <w:vAlign w:val="bottom"/>
          </w:tcPr>
          <w:p>
            <w:pPr>
              <w:pStyle w:val="Normal"/>
              <w:widowControl w:val="false"/>
              <w:tabs>
                <w:tab w:val="clear" w:pos="708"/>
              </w:tabs>
              <w:spacing w:before="0" w:after="200"/>
              <w:jc w:val="left"/>
              <w:rPr>
                <w:b w:val="false"/>
                <w:b w:val="false"/>
                <w:bCs w:val="false"/>
                <w:i w:val="false"/>
                <w:i w:val="false"/>
                <w:iCs w:val="false"/>
                <w:sz w:val="24"/>
                <w:szCs w:val="24"/>
              </w:rPr>
            </w:pPr>
            <w:r>
              <w:rPr>
                <w:b w:val="false"/>
                <w:bCs w:val="false"/>
                <w:i w:val="false"/>
                <w:iCs w:val="false"/>
                <w:sz w:val="24"/>
                <w:szCs w:val="24"/>
              </w:rPr>
            </w:r>
          </w:p>
        </w:tc>
        <w:tc>
          <w:tcPr>
            <w:tcW w:w="1700" w:type="dxa"/>
            <w:tcBorders/>
            <w:vAlign w:val="bottom"/>
          </w:tcPr>
          <w:p>
            <w:pPr>
              <w:pStyle w:val="Normal"/>
              <w:widowControl w:val="false"/>
              <w:tabs>
                <w:tab w:val="clear" w:pos="708"/>
              </w:tabs>
              <w:spacing w:before="0" w:after="200"/>
              <w:jc w:val="left"/>
              <w:rPr>
                <w:b w:val="false"/>
                <w:b w:val="false"/>
                <w:bCs w:val="false"/>
                <w:i w:val="false"/>
                <w:i w:val="false"/>
                <w:iCs w:val="false"/>
                <w:sz w:val="24"/>
                <w:szCs w:val="24"/>
              </w:rPr>
            </w:pPr>
            <w:r>
              <w:rPr>
                <w:b w:val="false"/>
                <w:bCs w:val="false"/>
                <w:i w:val="false"/>
                <w:iCs w:val="false"/>
                <w:sz w:val="24"/>
                <w:szCs w:val="24"/>
              </w:rPr>
            </w:r>
          </w:p>
        </w:tc>
        <w:tc>
          <w:tcPr>
            <w:tcW w:w="1700" w:type="dxa"/>
            <w:tcBorders/>
            <w:vAlign w:val="bottom"/>
          </w:tcPr>
          <w:p>
            <w:pPr>
              <w:pStyle w:val="Normal"/>
              <w:widowControl w:val="false"/>
              <w:tabs>
                <w:tab w:val="clear" w:pos="708"/>
              </w:tabs>
              <w:spacing w:before="0" w:after="200"/>
              <w:jc w:val="left"/>
              <w:rPr>
                <w:b w:val="false"/>
                <w:b w:val="false"/>
                <w:bCs w:val="false"/>
                <w:i w:val="false"/>
                <w:i w:val="false"/>
                <w:iCs w:val="false"/>
                <w:sz w:val="24"/>
                <w:szCs w:val="24"/>
              </w:rPr>
            </w:pPr>
            <w:r>
              <w:rPr>
                <w:b w:val="false"/>
                <w:bCs w:val="false"/>
                <w:i w:val="false"/>
                <w:iCs w:val="false"/>
                <w:sz w:val="24"/>
                <w:szCs w:val="24"/>
              </w:rPr>
            </w:r>
          </w:p>
        </w:tc>
        <w:tc>
          <w:tcPr>
            <w:tcW w:w="1605" w:type="dxa"/>
            <w:tcBorders/>
            <w:vAlign w:val="bottom"/>
          </w:tcPr>
          <w:p>
            <w:pPr>
              <w:pStyle w:val="Normal"/>
              <w:widowControl w:val="false"/>
              <w:tabs>
                <w:tab w:val="clear" w:pos="708"/>
              </w:tabs>
              <w:spacing w:before="0" w:after="200"/>
              <w:jc w:val="left"/>
              <w:rPr>
                <w:b w:val="false"/>
                <w:b w:val="false"/>
                <w:bCs w:val="false"/>
                <w:i w:val="false"/>
                <w:i w:val="false"/>
                <w:iCs w:val="false"/>
                <w:sz w:val="24"/>
                <w:szCs w:val="24"/>
              </w:rPr>
            </w:pPr>
            <w:r>
              <w:rPr>
                <w:b w:val="false"/>
                <w:bCs w:val="false"/>
                <w:i w:val="false"/>
                <w:iCs w:val="false"/>
                <w:sz w:val="24"/>
                <w:szCs w:val="24"/>
              </w:rPr>
            </w:r>
          </w:p>
        </w:tc>
        <w:tc>
          <w:tcPr>
            <w:tcW w:w="1332" w:type="dxa"/>
            <w:tcBorders/>
            <w:vAlign w:val="bottom"/>
          </w:tcPr>
          <w:p>
            <w:pPr>
              <w:pStyle w:val="Normal"/>
              <w:widowControl w:val="false"/>
              <w:tabs>
                <w:tab w:val="clear" w:pos="708"/>
              </w:tabs>
              <w:spacing w:before="0" w:after="200"/>
              <w:jc w:val="left"/>
              <w:rPr>
                <w:b w:val="false"/>
                <w:b w:val="false"/>
                <w:bCs w:val="false"/>
                <w:i w:val="false"/>
                <w:i w:val="false"/>
                <w:iCs w:val="false"/>
                <w:sz w:val="24"/>
                <w:szCs w:val="24"/>
              </w:rPr>
            </w:pPr>
            <w:r>
              <w:rPr>
                <w:b w:val="false"/>
                <w:bCs w:val="false"/>
                <w:i w:val="false"/>
                <w:iCs w:val="false"/>
                <w:sz w:val="24"/>
                <w:szCs w:val="24"/>
              </w:rPr>
            </w:r>
          </w:p>
        </w:tc>
        <w:tc>
          <w:tcPr>
            <w:tcW w:w="1402" w:type="dxa"/>
            <w:tcBorders/>
            <w:vAlign w:val="bottom"/>
          </w:tcPr>
          <w:p>
            <w:pPr>
              <w:pStyle w:val="Normal"/>
              <w:widowControl w:val="false"/>
              <w:tabs>
                <w:tab w:val="clear" w:pos="708"/>
              </w:tabs>
              <w:spacing w:before="0" w:after="200"/>
              <w:jc w:val="left"/>
              <w:rPr>
                <w:b w:val="false"/>
                <w:b w:val="false"/>
                <w:bCs w:val="false"/>
                <w:i w:val="false"/>
                <w:i w:val="false"/>
                <w:iCs w:val="false"/>
                <w:sz w:val="24"/>
                <w:szCs w:val="24"/>
              </w:rPr>
            </w:pPr>
            <w:r>
              <w:rPr>
                <w:b w:val="false"/>
                <w:bCs w:val="false"/>
                <w:i w:val="false"/>
                <w:iCs w:val="false"/>
                <w:sz w:val="24"/>
                <w:szCs w:val="24"/>
              </w:rPr>
            </w:r>
          </w:p>
        </w:tc>
      </w:tr>
      <w:tr>
        <w:trPr>
          <w:trHeight w:val="1104" w:hRule="atLeast"/>
        </w:trPr>
        <w:tc>
          <w:tcPr>
            <w:tcW w:w="1816" w:type="dxa"/>
            <w:gridSpan w:val="2"/>
            <w:vMerge w:val="restart"/>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Entrate 2023</w:t>
            </w:r>
          </w:p>
        </w:tc>
        <w:tc>
          <w:tcPr>
            <w:tcW w:w="1700"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Previsioni iniziali</w:t>
            </w:r>
          </w:p>
        </w:tc>
        <w:tc>
          <w:tcPr>
            <w:tcW w:w="1700"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Previsioni definitive</w:t>
            </w:r>
          </w:p>
        </w:tc>
        <w:tc>
          <w:tcPr>
            <w:tcW w:w="1605"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 xml:space="preserve">Accertamenti </w:t>
              <w:br/>
            </w:r>
          </w:p>
        </w:tc>
        <w:tc>
          <w:tcPr>
            <w:tcW w:w="1332"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Accert.ti /Previsioni iniziali</w:t>
              <w:br/>
              <w:t>%</w:t>
            </w:r>
          </w:p>
        </w:tc>
        <w:tc>
          <w:tcPr>
            <w:tcW w:w="1402"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 xml:space="preserve">Accert.ti /Previsioni definitive </w:t>
              <w:br/>
              <w:t>%</w:t>
            </w:r>
          </w:p>
        </w:tc>
      </w:tr>
      <w:tr>
        <w:trPr>
          <w:trHeight w:val="288" w:hRule="atLeast"/>
        </w:trPr>
        <w:tc>
          <w:tcPr>
            <w:tcW w:w="1816" w:type="dxa"/>
            <w:gridSpan w:val="2"/>
            <w:vMerge w:val="continue"/>
            <w:tcBorders/>
            <w:vAlign w:val="center"/>
          </w:tcPr>
          <w:p>
            <w:pPr>
              <w:pStyle w:val="Normal"/>
              <w:widowControl w:val="false"/>
              <w:tabs>
                <w:tab w:val="clear" w:pos="708"/>
              </w:tabs>
              <w:spacing w:before="0" w:after="200"/>
              <w:jc w:val="center"/>
              <w:rPr>
                <w:b/>
                <w:b/>
              </w:rPr>
            </w:pPr>
            <w:r>
              <w:rPr>
                <w:b/>
              </w:rPr>
            </w:r>
          </w:p>
        </w:tc>
        <w:tc>
          <w:tcPr>
            <w:tcW w:w="1700"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(A)</w:t>
            </w:r>
          </w:p>
        </w:tc>
        <w:tc>
          <w:tcPr>
            <w:tcW w:w="1700"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(B)</w:t>
            </w:r>
          </w:p>
        </w:tc>
        <w:tc>
          <w:tcPr>
            <w:tcW w:w="1605"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(C)</w:t>
            </w:r>
          </w:p>
        </w:tc>
        <w:tc>
          <w:tcPr>
            <w:tcW w:w="1332"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(C/A*100)</w:t>
            </w:r>
          </w:p>
        </w:tc>
        <w:tc>
          <w:tcPr>
            <w:tcW w:w="1402"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(C/B*100)</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Cs w:val="false"/>
                <w:szCs w:val="24"/>
              </w:rPr>
              <w:t>Titolo 1</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16.195.555,00</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16.613.464,68</w:t>
            </w:r>
          </w:p>
        </w:tc>
        <w:tc>
          <w:tcPr>
            <w:tcW w:w="1605"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16.912.336,43</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104,43</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101,80</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Cs w:val="false"/>
                <w:szCs w:val="24"/>
              </w:rPr>
              <w:t>Titolo 2</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2.275.481,61</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2.311.661,59</w:t>
            </w:r>
          </w:p>
        </w:tc>
        <w:tc>
          <w:tcPr>
            <w:tcW w:w="1605"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2.114.401,82</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92,92</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91,47</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Cs w:val="false"/>
                <w:szCs w:val="24"/>
              </w:rPr>
              <w:t>Titolo 3</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7.869.597,65</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8.375.828,85</w:t>
            </w:r>
          </w:p>
        </w:tc>
        <w:tc>
          <w:tcPr>
            <w:tcW w:w="1605"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7.336.553,90</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93,23</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87,59</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Cs w:val="false"/>
                <w:szCs w:val="24"/>
              </w:rPr>
              <w:t>Titolo 4</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3.883.125,42</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4.176.679,05</w:t>
            </w:r>
          </w:p>
        </w:tc>
        <w:tc>
          <w:tcPr>
            <w:tcW w:w="1605"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1.489.258,40</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38,35</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35,66</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Cs w:val="false"/>
                <w:szCs w:val="24"/>
              </w:rPr>
              <w:t>Titolo 5</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1.603.089,75</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602.571,26</w:t>
            </w:r>
          </w:p>
        </w:tc>
        <w:tc>
          <w:tcPr>
            <w:tcW w:w="1605"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457.444,26</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28,54</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75,92</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
                <w:iCs w:val="false"/>
                <w:szCs w:val="24"/>
              </w:rPr>
              <w:t>TOTALE</w:t>
            </w:r>
          </w:p>
        </w:tc>
        <w:tc>
          <w:tcPr>
            <w:tcW w:w="1700"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
                <w:bCs w:val="false"/>
                <w:i/>
                <w:iCs w:val="false"/>
                <w:szCs w:val="24"/>
              </w:rPr>
              <w:t>31.826.849,43</w:t>
            </w:r>
          </w:p>
        </w:tc>
        <w:tc>
          <w:tcPr>
            <w:tcW w:w="1700"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
                <w:bCs w:val="false"/>
                <w:i/>
                <w:iCs w:val="false"/>
                <w:szCs w:val="24"/>
              </w:rPr>
              <w:t>32.080.205,43</w:t>
            </w:r>
          </w:p>
        </w:tc>
        <w:tc>
          <w:tcPr>
            <w:tcW w:w="1605"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
                <w:bCs w:val="false"/>
                <w:i/>
                <w:iCs w:val="false"/>
                <w:szCs w:val="24"/>
              </w:rPr>
              <w:t>28.309.994,81</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
                <w:bCs w:val="false"/>
                <w:i/>
                <w:iCs w:val="false"/>
                <w:szCs w:val="24"/>
              </w:rPr>
              <w:t>88,95</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
                <w:bCs w:val="false"/>
                <w:i/>
                <w:iCs w:val="false"/>
                <w:szCs w:val="24"/>
              </w:rPr>
              <w:t>88,25</w:t>
            </w:r>
          </w:p>
        </w:tc>
      </w:tr>
      <w:tr>
        <w:trPr>
          <w:trHeight w:val="288" w:hRule="atLeast"/>
        </w:trPr>
        <w:tc>
          <w:tcPr>
            <w:tcW w:w="1420" w:type="dxa"/>
            <w:tcBorders/>
            <w:vAlign w:val="bottom"/>
          </w:tcPr>
          <w:p>
            <w:pPr>
              <w:pStyle w:val="Normal"/>
              <w:widowControl w:val="false"/>
              <w:tabs>
                <w:tab w:val="clear" w:pos="708"/>
              </w:tabs>
              <w:spacing w:before="0" w:after="200"/>
              <w:jc w:val="left"/>
              <w:rPr>
                <w:b w:val="false"/>
                <w:b w:val="false"/>
                <w:bCs w:val="false"/>
                <w:i w:val="false"/>
                <w:i w:val="false"/>
                <w:iCs w:val="false"/>
                <w:sz w:val="24"/>
                <w:szCs w:val="24"/>
              </w:rPr>
            </w:pPr>
            <w:r>
              <w:rPr>
                <w:b w:val="false"/>
                <w:bCs w:val="false"/>
                <w:i w:val="false"/>
                <w:iCs w:val="false"/>
                <w:sz w:val="24"/>
                <w:szCs w:val="24"/>
              </w:rPr>
            </w:r>
          </w:p>
        </w:tc>
        <w:tc>
          <w:tcPr>
            <w:tcW w:w="396" w:type="dxa"/>
            <w:tcBorders/>
            <w:vAlign w:val="bottom"/>
          </w:tcPr>
          <w:p>
            <w:pPr>
              <w:pStyle w:val="Normal"/>
              <w:widowControl w:val="false"/>
              <w:tabs>
                <w:tab w:val="clear" w:pos="708"/>
              </w:tabs>
              <w:spacing w:before="0" w:after="200"/>
              <w:jc w:val="left"/>
              <w:rPr>
                <w:b w:val="false"/>
                <w:b w:val="false"/>
                <w:bCs w:val="false"/>
                <w:i w:val="false"/>
                <w:i w:val="false"/>
                <w:iCs w:val="false"/>
                <w:sz w:val="24"/>
                <w:szCs w:val="24"/>
              </w:rPr>
            </w:pPr>
            <w:r>
              <w:rPr>
                <w:b w:val="false"/>
                <w:bCs w:val="false"/>
                <w:i w:val="false"/>
                <w:iCs w:val="false"/>
                <w:sz w:val="24"/>
                <w:szCs w:val="24"/>
              </w:rPr>
            </w:r>
          </w:p>
        </w:tc>
        <w:tc>
          <w:tcPr>
            <w:tcW w:w="1700" w:type="dxa"/>
            <w:tcBorders/>
            <w:vAlign w:val="bottom"/>
          </w:tcPr>
          <w:p>
            <w:pPr>
              <w:pStyle w:val="Normal"/>
              <w:widowControl w:val="false"/>
              <w:tabs>
                <w:tab w:val="clear" w:pos="708"/>
              </w:tabs>
              <w:spacing w:before="0" w:after="200"/>
              <w:jc w:val="left"/>
              <w:rPr>
                <w:b w:val="false"/>
                <w:b w:val="false"/>
                <w:bCs w:val="false"/>
                <w:i w:val="false"/>
                <w:i w:val="false"/>
                <w:iCs w:val="false"/>
                <w:sz w:val="24"/>
                <w:szCs w:val="24"/>
              </w:rPr>
            </w:pPr>
            <w:r>
              <w:rPr>
                <w:b w:val="false"/>
                <w:bCs w:val="false"/>
                <w:i w:val="false"/>
                <w:iCs w:val="false"/>
                <w:sz w:val="24"/>
                <w:szCs w:val="24"/>
              </w:rPr>
            </w:r>
          </w:p>
        </w:tc>
        <w:tc>
          <w:tcPr>
            <w:tcW w:w="1700" w:type="dxa"/>
            <w:tcBorders/>
            <w:vAlign w:val="bottom"/>
          </w:tcPr>
          <w:p>
            <w:pPr>
              <w:pStyle w:val="Normal"/>
              <w:widowControl w:val="false"/>
              <w:tabs>
                <w:tab w:val="clear" w:pos="708"/>
              </w:tabs>
              <w:spacing w:before="0" w:after="200"/>
              <w:jc w:val="left"/>
              <w:rPr>
                <w:b w:val="false"/>
                <w:b w:val="false"/>
                <w:bCs w:val="false"/>
                <w:i w:val="false"/>
                <w:i w:val="false"/>
                <w:iCs w:val="false"/>
                <w:sz w:val="24"/>
                <w:szCs w:val="24"/>
              </w:rPr>
            </w:pPr>
            <w:r>
              <w:rPr>
                <w:b w:val="false"/>
                <w:bCs w:val="false"/>
                <w:i w:val="false"/>
                <w:iCs w:val="false"/>
                <w:sz w:val="24"/>
                <w:szCs w:val="24"/>
              </w:rPr>
            </w:r>
          </w:p>
        </w:tc>
        <w:tc>
          <w:tcPr>
            <w:tcW w:w="1605" w:type="dxa"/>
            <w:tcBorders/>
            <w:vAlign w:val="bottom"/>
          </w:tcPr>
          <w:p>
            <w:pPr>
              <w:pStyle w:val="Normal"/>
              <w:widowControl w:val="false"/>
              <w:tabs>
                <w:tab w:val="clear" w:pos="708"/>
              </w:tabs>
              <w:spacing w:before="0" w:after="200"/>
              <w:jc w:val="left"/>
              <w:rPr>
                <w:b w:val="false"/>
                <w:b w:val="false"/>
                <w:bCs w:val="false"/>
                <w:i w:val="false"/>
                <w:i w:val="false"/>
                <w:iCs w:val="false"/>
                <w:sz w:val="24"/>
                <w:szCs w:val="24"/>
              </w:rPr>
            </w:pPr>
            <w:r>
              <w:rPr>
                <w:b w:val="false"/>
                <w:bCs w:val="false"/>
                <w:i w:val="false"/>
                <w:iCs w:val="false"/>
                <w:sz w:val="24"/>
                <w:szCs w:val="24"/>
              </w:rPr>
            </w:r>
          </w:p>
        </w:tc>
        <w:tc>
          <w:tcPr>
            <w:tcW w:w="1332" w:type="dxa"/>
            <w:tcBorders/>
            <w:vAlign w:val="bottom"/>
          </w:tcPr>
          <w:p>
            <w:pPr>
              <w:pStyle w:val="Normal"/>
              <w:widowControl w:val="false"/>
              <w:tabs>
                <w:tab w:val="clear" w:pos="708"/>
              </w:tabs>
              <w:spacing w:before="0" w:after="200"/>
              <w:jc w:val="left"/>
              <w:rPr>
                <w:b w:val="false"/>
                <w:b w:val="false"/>
                <w:bCs w:val="false"/>
                <w:i w:val="false"/>
                <w:i w:val="false"/>
                <w:iCs w:val="false"/>
                <w:sz w:val="24"/>
                <w:szCs w:val="24"/>
              </w:rPr>
            </w:pPr>
            <w:r>
              <w:rPr>
                <w:b w:val="false"/>
                <w:bCs w:val="false"/>
                <w:i w:val="false"/>
                <w:iCs w:val="false"/>
                <w:sz w:val="24"/>
                <w:szCs w:val="24"/>
              </w:rPr>
            </w:r>
          </w:p>
        </w:tc>
        <w:tc>
          <w:tcPr>
            <w:tcW w:w="1402" w:type="dxa"/>
            <w:tcBorders/>
            <w:vAlign w:val="bottom"/>
          </w:tcPr>
          <w:p>
            <w:pPr>
              <w:pStyle w:val="Normal"/>
              <w:widowControl w:val="false"/>
              <w:tabs>
                <w:tab w:val="clear" w:pos="708"/>
              </w:tabs>
              <w:spacing w:before="0" w:after="200"/>
              <w:jc w:val="left"/>
              <w:rPr>
                <w:b w:val="false"/>
                <w:b w:val="false"/>
                <w:bCs w:val="false"/>
                <w:i w:val="false"/>
                <w:i w:val="false"/>
                <w:iCs w:val="false"/>
                <w:sz w:val="24"/>
                <w:szCs w:val="24"/>
              </w:rPr>
            </w:pPr>
            <w:r>
              <w:rPr>
                <w:b w:val="false"/>
                <w:bCs w:val="false"/>
                <w:i w:val="false"/>
                <w:iCs w:val="false"/>
                <w:sz w:val="24"/>
                <w:szCs w:val="24"/>
              </w:rPr>
            </w:r>
          </w:p>
        </w:tc>
      </w:tr>
      <w:tr>
        <w:trPr>
          <w:trHeight w:val="1104" w:hRule="atLeast"/>
        </w:trPr>
        <w:tc>
          <w:tcPr>
            <w:tcW w:w="1816" w:type="dxa"/>
            <w:gridSpan w:val="2"/>
            <w:vMerge w:val="restart"/>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Entrate 2024</w:t>
            </w:r>
          </w:p>
        </w:tc>
        <w:tc>
          <w:tcPr>
            <w:tcW w:w="1700"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Previsioni iniziali</w:t>
            </w:r>
          </w:p>
        </w:tc>
        <w:tc>
          <w:tcPr>
            <w:tcW w:w="1700"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Previsioni definitive</w:t>
            </w:r>
          </w:p>
        </w:tc>
        <w:tc>
          <w:tcPr>
            <w:tcW w:w="1605"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 xml:space="preserve">Accertamenti </w:t>
              <w:br/>
            </w:r>
          </w:p>
        </w:tc>
        <w:tc>
          <w:tcPr>
            <w:tcW w:w="1332"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Accert.ti /Previsioni iniziali</w:t>
              <w:br/>
              <w:t>%</w:t>
            </w:r>
          </w:p>
        </w:tc>
        <w:tc>
          <w:tcPr>
            <w:tcW w:w="1402"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 xml:space="preserve">Accert.ti /Previsioni definitive </w:t>
              <w:br/>
              <w:t>%</w:t>
            </w:r>
          </w:p>
        </w:tc>
      </w:tr>
      <w:tr>
        <w:trPr>
          <w:trHeight w:val="288" w:hRule="atLeast"/>
        </w:trPr>
        <w:tc>
          <w:tcPr>
            <w:tcW w:w="1816" w:type="dxa"/>
            <w:gridSpan w:val="2"/>
            <w:vMerge w:val="continue"/>
            <w:tcBorders/>
            <w:vAlign w:val="center"/>
          </w:tcPr>
          <w:p>
            <w:pPr>
              <w:pStyle w:val="Normal"/>
              <w:widowControl w:val="false"/>
              <w:tabs>
                <w:tab w:val="clear" w:pos="708"/>
              </w:tabs>
              <w:spacing w:before="0" w:after="200"/>
              <w:jc w:val="center"/>
              <w:rPr>
                <w:b/>
                <w:b/>
              </w:rPr>
            </w:pPr>
            <w:r>
              <w:rPr>
                <w:b/>
              </w:rPr>
            </w:r>
          </w:p>
        </w:tc>
        <w:tc>
          <w:tcPr>
            <w:tcW w:w="1700"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(A)</w:t>
            </w:r>
          </w:p>
        </w:tc>
        <w:tc>
          <w:tcPr>
            <w:tcW w:w="1700"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(B)</w:t>
            </w:r>
          </w:p>
        </w:tc>
        <w:tc>
          <w:tcPr>
            <w:tcW w:w="1605"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(C)</w:t>
            </w:r>
          </w:p>
        </w:tc>
        <w:tc>
          <w:tcPr>
            <w:tcW w:w="1332"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(C/A*100)</w:t>
            </w:r>
          </w:p>
        </w:tc>
        <w:tc>
          <w:tcPr>
            <w:tcW w:w="1402" w:type="dxa"/>
            <w:tcBorders/>
            <w:vAlign w:val="center"/>
          </w:tcPr>
          <w:p>
            <w:pPr>
              <w:pStyle w:val="Normal"/>
              <w:widowControl w:val="false"/>
              <w:tabs>
                <w:tab w:val="clear" w:pos="708"/>
              </w:tabs>
              <w:spacing w:before="0" w:after="200"/>
              <w:jc w:val="center"/>
              <w:rPr>
                <w:b w:val="false"/>
                <w:b w:val="false"/>
                <w:bCs w:val="false"/>
                <w:i w:val="false"/>
                <w:i w:val="false"/>
                <w:iCs w:val="false"/>
                <w:sz w:val="24"/>
                <w:szCs w:val="24"/>
              </w:rPr>
            </w:pPr>
            <w:r>
              <w:rPr>
                <w:b/>
                <w:bCs w:val="false"/>
                <w:iCs w:val="false"/>
                <w:szCs w:val="24"/>
              </w:rPr>
              <w:t>(C/B*100)</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Cs w:val="false"/>
                <w:szCs w:val="24"/>
              </w:rPr>
              <w:t>Titolo 1</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16.508.423,00</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16.778.743,00</w:t>
            </w:r>
          </w:p>
        </w:tc>
        <w:tc>
          <w:tcPr>
            <w:tcW w:w="1605"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16.279.650,56</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98,61</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97,03</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Cs w:val="false"/>
                <w:szCs w:val="24"/>
              </w:rPr>
              <w:t>Titolo 2</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1.766.187,69</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2.113.905,04</w:t>
            </w:r>
          </w:p>
        </w:tc>
        <w:tc>
          <w:tcPr>
            <w:tcW w:w="1605"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2.109.535,15</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119,44</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99,79</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Cs w:val="false"/>
                <w:szCs w:val="24"/>
              </w:rPr>
              <w:t>Titolo 3</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8.302.004,79</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8.942.089,29</w:t>
            </w:r>
          </w:p>
        </w:tc>
        <w:tc>
          <w:tcPr>
            <w:tcW w:w="1605"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8.358.797,46</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100,68</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93,48</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Cs w:val="false"/>
                <w:szCs w:val="24"/>
              </w:rPr>
              <w:t>Titolo 4</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5.627.956,15</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7.376.581,81</w:t>
            </w:r>
          </w:p>
        </w:tc>
        <w:tc>
          <w:tcPr>
            <w:tcW w:w="1605"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1.195.289,39</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21,24</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16,20</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val="false"/>
                <w:b w:val="false"/>
                <w:bCs w:val="false"/>
                <w:i w:val="false"/>
                <w:i w:val="false"/>
                <w:iCs w:val="false"/>
                <w:sz w:val="24"/>
                <w:szCs w:val="24"/>
              </w:rPr>
            </w:pPr>
            <w:r>
              <w:rPr>
                <w:b/>
                <w:bCs w:val="false"/>
                <w:iCs w:val="false"/>
                <w:szCs w:val="24"/>
              </w:rPr>
              <w:t>Titolo 5</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1.145.645,49</w:t>
            </w:r>
          </w:p>
        </w:tc>
        <w:tc>
          <w:tcPr>
            <w:tcW w:w="1700" w:type="dxa"/>
            <w:tcBorders/>
            <w:vAlign w:val="bottom"/>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1.000.518,49</w:t>
            </w:r>
          </w:p>
        </w:tc>
        <w:tc>
          <w:tcPr>
            <w:tcW w:w="1605"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0,00</w:t>
            </w:r>
          </w:p>
        </w:tc>
        <w:tc>
          <w:tcPr>
            <w:tcW w:w="133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0,00</w:t>
            </w:r>
          </w:p>
        </w:tc>
        <w:tc>
          <w:tcPr>
            <w:tcW w:w="1402" w:type="dxa"/>
            <w:tcBorders/>
            <w:vAlign w:val="center"/>
          </w:tcPr>
          <w:p>
            <w:pPr>
              <w:pStyle w:val="Normal"/>
              <w:widowControl w:val="false"/>
              <w:tabs>
                <w:tab w:val="clear" w:pos="708"/>
              </w:tabs>
              <w:spacing w:before="0" w:after="200"/>
              <w:jc w:val="right"/>
              <w:rPr>
                <w:b w:val="false"/>
                <w:b w:val="false"/>
                <w:bCs w:val="false"/>
                <w:i w:val="false"/>
                <w:i w:val="false"/>
                <w:iCs w:val="false"/>
                <w:sz w:val="24"/>
                <w:szCs w:val="24"/>
              </w:rPr>
            </w:pPr>
            <w:r>
              <w:rPr>
                <w:bCs w:val="false"/>
                <w:iCs w:val="false"/>
                <w:szCs w:val="24"/>
              </w:rPr>
              <w:t>0,00</w:t>
            </w:r>
          </w:p>
        </w:tc>
      </w:tr>
      <w:tr>
        <w:trPr>
          <w:trHeight w:val="288" w:hRule="atLeast"/>
        </w:trPr>
        <w:tc>
          <w:tcPr>
            <w:tcW w:w="1816" w:type="dxa"/>
            <w:gridSpan w:val="2"/>
            <w:tcBorders/>
            <w:vAlign w:val="center"/>
          </w:tcPr>
          <w:p>
            <w:pPr>
              <w:pStyle w:val="Normal"/>
              <w:widowControl w:val="false"/>
              <w:tabs>
                <w:tab w:val="clear" w:pos="708"/>
              </w:tabs>
              <w:spacing w:before="0" w:after="200"/>
              <w:jc w:val="left"/>
              <w:rPr>
                <w:b/>
                <w:b/>
                <w:bCs/>
                <w:i w:val="false"/>
                <w:i w:val="false"/>
                <w:iCs w:val="false"/>
                <w:sz w:val="24"/>
                <w:szCs w:val="24"/>
              </w:rPr>
            </w:pPr>
            <w:r>
              <w:rPr>
                <w:b/>
                <w:bCs/>
                <w:i/>
                <w:iCs w:val="false"/>
                <w:szCs w:val="24"/>
              </w:rPr>
              <w:t>TOTALE</w:t>
            </w:r>
          </w:p>
        </w:tc>
        <w:tc>
          <w:tcPr>
            <w:tcW w:w="1700" w:type="dxa"/>
            <w:tcBorders/>
            <w:vAlign w:val="center"/>
          </w:tcPr>
          <w:p>
            <w:pPr>
              <w:pStyle w:val="Normal"/>
              <w:widowControl w:val="false"/>
              <w:tabs>
                <w:tab w:val="clear" w:pos="708"/>
              </w:tabs>
              <w:spacing w:before="0" w:after="200"/>
              <w:jc w:val="right"/>
              <w:rPr>
                <w:b/>
                <w:b/>
                <w:bCs/>
                <w:i w:val="false"/>
                <w:i w:val="false"/>
                <w:iCs w:val="false"/>
                <w:sz w:val="24"/>
                <w:szCs w:val="24"/>
              </w:rPr>
            </w:pPr>
            <w:r>
              <w:rPr>
                <w:b/>
                <w:bCs/>
                <w:i/>
                <w:iCs w:val="false"/>
                <w:szCs w:val="24"/>
              </w:rPr>
              <w:t>33.350.217,12</w:t>
            </w:r>
          </w:p>
        </w:tc>
        <w:tc>
          <w:tcPr>
            <w:tcW w:w="1700" w:type="dxa"/>
            <w:tcBorders/>
            <w:vAlign w:val="center"/>
          </w:tcPr>
          <w:p>
            <w:pPr>
              <w:pStyle w:val="Normal"/>
              <w:widowControl w:val="false"/>
              <w:tabs>
                <w:tab w:val="clear" w:pos="708"/>
              </w:tabs>
              <w:spacing w:before="0" w:after="200"/>
              <w:jc w:val="right"/>
              <w:rPr>
                <w:b/>
                <w:b/>
                <w:bCs/>
                <w:i w:val="false"/>
                <w:i w:val="false"/>
                <w:iCs w:val="false"/>
                <w:sz w:val="24"/>
                <w:szCs w:val="24"/>
              </w:rPr>
            </w:pPr>
            <w:r>
              <w:rPr>
                <w:b/>
                <w:bCs/>
                <w:i/>
                <w:iCs w:val="false"/>
                <w:szCs w:val="24"/>
              </w:rPr>
              <w:t>36.211.837,63</w:t>
            </w:r>
          </w:p>
        </w:tc>
        <w:tc>
          <w:tcPr>
            <w:tcW w:w="1605" w:type="dxa"/>
            <w:tcBorders/>
            <w:vAlign w:val="center"/>
          </w:tcPr>
          <w:p>
            <w:pPr>
              <w:pStyle w:val="Normal"/>
              <w:widowControl w:val="false"/>
              <w:tabs>
                <w:tab w:val="clear" w:pos="708"/>
              </w:tabs>
              <w:spacing w:before="0" w:after="200"/>
              <w:jc w:val="right"/>
              <w:rPr>
                <w:b/>
                <w:b/>
                <w:bCs/>
                <w:i w:val="false"/>
                <w:i w:val="false"/>
                <w:iCs w:val="false"/>
                <w:sz w:val="24"/>
                <w:szCs w:val="24"/>
              </w:rPr>
            </w:pPr>
            <w:r>
              <w:rPr>
                <w:b/>
                <w:bCs/>
                <w:i/>
                <w:iCs w:val="false"/>
                <w:szCs w:val="24"/>
              </w:rPr>
              <w:t>27.943.272,56</w:t>
            </w:r>
          </w:p>
        </w:tc>
        <w:tc>
          <w:tcPr>
            <w:tcW w:w="1332" w:type="dxa"/>
            <w:tcBorders/>
            <w:vAlign w:val="center"/>
          </w:tcPr>
          <w:p>
            <w:pPr>
              <w:pStyle w:val="Normal"/>
              <w:widowControl w:val="false"/>
              <w:tabs>
                <w:tab w:val="clear" w:pos="708"/>
              </w:tabs>
              <w:spacing w:before="0" w:after="200"/>
              <w:jc w:val="right"/>
              <w:rPr>
                <w:b/>
                <w:b/>
                <w:bCs/>
                <w:i w:val="false"/>
                <w:i w:val="false"/>
                <w:iCs w:val="false"/>
                <w:sz w:val="24"/>
                <w:szCs w:val="24"/>
              </w:rPr>
            </w:pPr>
            <w:r>
              <w:rPr>
                <w:b/>
                <w:bCs/>
                <w:i/>
                <w:iCs w:val="false"/>
                <w:szCs w:val="24"/>
              </w:rPr>
              <w:t>83,79</w:t>
            </w:r>
          </w:p>
        </w:tc>
        <w:tc>
          <w:tcPr>
            <w:tcW w:w="1402" w:type="dxa"/>
            <w:tcBorders/>
            <w:vAlign w:val="center"/>
          </w:tcPr>
          <w:p>
            <w:pPr>
              <w:pStyle w:val="Normal"/>
              <w:widowControl w:val="false"/>
              <w:tabs>
                <w:tab w:val="clear" w:pos="708"/>
              </w:tabs>
              <w:spacing w:before="0" w:after="200"/>
              <w:jc w:val="right"/>
              <w:rPr>
                <w:b/>
                <w:b/>
                <w:bCs/>
                <w:i w:val="false"/>
                <w:i w:val="false"/>
                <w:iCs w:val="false"/>
                <w:sz w:val="24"/>
                <w:szCs w:val="24"/>
              </w:rPr>
            </w:pPr>
            <w:r>
              <w:rPr>
                <w:b/>
                <w:bCs/>
                <w:i/>
                <w:iCs w:val="false"/>
                <w:szCs w:val="24"/>
              </w:rPr>
              <w:t>77,17</w:t>
            </w:r>
          </w:p>
        </w:tc>
      </w:tr>
    </w:tbl>
    <w:p>
      <w:pPr>
        <w:pStyle w:val="Normal"/>
        <w:rPr/>
      </w:pPr>
      <w:r>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t>IMU</w:t>
      </w:r>
    </w:p>
    <w:p>
      <w:pPr>
        <w:pStyle w:val="Normal"/>
        <w:widowControl w:val="false"/>
        <w:numPr>
          <w:ilvl w:val="0"/>
          <w:numId w:val="0"/>
        </w:numPr>
        <w:overflowPunct w:val="true"/>
        <w:spacing w:lineRule="auto" w:line="240" w:before="120" w:after="120"/>
        <w:ind w:left="0" w:hanging="0"/>
        <w:textAlignment w:val="baseline"/>
        <w:rPr>
          <w:rFonts w:ascii="Arial" w:hAnsi="Arial"/>
          <w:color w:val="auto"/>
          <w:sz w:val="22"/>
          <w:szCs w:val="22"/>
        </w:rPr>
      </w:pPr>
      <w:r>
        <w:rPr>
          <w:rFonts w:eastAsia="Times New Roman" w:cs="Arial" w:ascii="Arial" w:hAnsi="Arial"/>
          <w:color w:val="auto"/>
          <w:sz w:val="22"/>
          <w:szCs w:val="22"/>
          <w:lang w:eastAsia="it-IT"/>
        </w:rPr>
        <w:t xml:space="preserve">Le entrate accertate nell’anno 2024 sono </w:t>
      </w:r>
      <w:r>
        <w:rPr>
          <w:rFonts w:eastAsia="Times New Roman" w:cs="Arial" w:ascii="Arial" w:hAnsi="Arial"/>
          <w:b/>
          <w:i/>
          <w:iCs/>
          <w:color w:val="auto"/>
          <w:sz w:val="22"/>
          <w:szCs w:val="22"/>
          <w:lang w:eastAsia="it-IT"/>
        </w:rPr>
        <w:t xml:space="preserve">aumentate </w:t>
      </w:r>
      <w:r>
        <w:rPr>
          <w:rFonts w:eastAsia="Times New Roman" w:cs="Arial" w:ascii="Arial" w:hAnsi="Arial"/>
          <w:color w:val="auto"/>
          <w:sz w:val="22"/>
          <w:szCs w:val="22"/>
          <w:lang w:eastAsia="it-IT"/>
        </w:rPr>
        <w:t>di Euro 95.669,73 rispetto a quelle dell’esercizio 2023.</w:t>
      </w:r>
    </w:p>
    <w:p>
      <w:pPr>
        <w:pStyle w:val="Normal"/>
        <w:widowControl w:val="false"/>
        <w:numPr>
          <w:ilvl w:val="0"/>
          <w:numId w:val="0"/>
        </w:numPr>
        <w:overflowPunct w:val="true"/>
        <w:spacing w:lineRule="auto" w:line="240" w:before="120" w:after="120"/>
        <w:ind w:left="0" w:hanging="0"/>
        <w:textAlignment w:val="baseline"/>
        <w:rPr>
          <w:rFonts w:eastAsia="Times New Roman" w:cs="Arial"/>
          <w:lang w:eastAsia="it-IT"/>
        </w:rPr>
      </w:pPr>
      <w:r>
        <w:rPr>
          <w:rFonts w:eastAsia="Times New Roman" w:cs="Arial"/>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color w:val="auto"/>
          <w:sz w:val="22"/>
          <w:szCs w:val="22"/>
        </w:rPr>
      </w:pPr>
      <w:r>
        <w:rPr>
          <w:rFonts w:eastAsia="Times New Roman" w:cs="Arial" w:ascii="Arial" w:hAnsi="Arial"/>
          <w:color w:val="auto"/>
          <w:sz w:val="22"/>
          <w:szCs w:val="22"/>
          <w:lang w:eastAsia="it-IT"/>
        </w:rPr>
        <w:t>La movimentazione delle somme rimaste a residuo per IMU è stata la seguente:</w:t>
      </w:r>
    </w:p>
    <w:p>
      <w:pPr>
        <w:pStyle w:val="Normal"/>
        <w:widowControl w:val="false"/>
        <w:numPr>
          <w:ilvl w:val="0"/>
          <w:numId w:val="0"/>
        </w:numPr>
        <w:overflowPunct w:val="true"/>
        <w:spacing w:lineRule="auto" w:line="240" w:before="0" w:after="120"/>
        <w:ind w:left="0" w:hanging="0"/>
        <w:textAlignment w:val="baseline"/>
        <w:rPr>
          <w:rFonts w:ascii="Arial" w:hAnsi="Arial"/>
          <w:color w:val="auto"/>
          <w:sz w:val="22"/>
          <w:szCs w:val="22"/>
        </w:rPr>
      </w:pPr>
      <w:r>
        <w:rPr>
          <w:rFonts w:eastAsia="Times New Roman" w:cs="Arial" w:ascii="Arial" w:hAnsi="Arial"/>
          <w:color w:val="auto"/>
          <w:sz w:val="22"/>
          <w:szCs w:val="22"/>
          <w:lang w:eastAsia="it-IT"/>
        </w:rPr>
        <w:t>Residui attivi al 1/01/2024:</w:t>
        <w:tab/>
        <w:tab/>
        <w:tab/>
        <w:t>€ 1.207.137,28</w:t>
      </w:r>
    </w:p>
    <w:p>
      <w:pPr>
        <w:pStyle w:val="Normal"/>
        <w:widowControl w:val="false"/>
        <w:suppressAutoHyphens w:val="false"/>
        <w:overflowPunct w:val="false"/>
        <w:spacing w:lineRule="auto" w:line="240" w:before="0" w:after="120"/>
        <w:ind w:left="0" w:right="0" w:hanging="0"/>
        <w:jc w:val="both"/>
        <w:textAlignment w:val="baseline"/>
        <w:rPr>
          <w:rFonts w:ascii="Arial" w:hAnsi="Arial"/>
          <w:color w:val="auto"/>
          <w:sz w:val="22"/>
          <w:szCs w:val="22"/>
        </w:rPr>
      </w:pPr>
      <w:r>
        <w:rPr>
          <w:rFonts w:cs="Arial" w:ascii="Arial" w:hAnsi="Arial"/>
          <w:color w:val="auto" w:themeColor="text1" w:themeTint="bf"/>
          <w:position w:val="0"/>
          <w:sz w:val="22"/>
          <w:sz w:val="22"/>
          <w:szCs w:val="22"/>
          <w:vertAlign w:val="baseline"/>
        </w:rPr>
        <w:t>Residui eliminati o riaccertati:</w:t>
        <w:tab/>
        <w:t xml:space="preserve">         + €    187.430,50</w:t>
      </w:r>
    </w:p>
    <w:p>
      <w:pPr>
        <w:pStyle w:val="Normal"/>
        <w:widowControl w:val="false"/>
        <w:numPr>
          <w:ilvl w:val="0"/>
          <w:numId w:val="0"/>
        </w:numPr>
        <w:overflowPunct w:val="true"/>
        <w:spacing w:lineRule="auto" w:line="240" w:before="0" w:after="120"/>
        <w:ind w:left="0" w:hanging="0"/>
        <w:textAlignment w:val="baseline"/>
        <w:rPr>
          <w:rFonts w:ascii="Arial" w:hAnsi="Arial"/>
          <w:color w:val="auto"/>
          <w:sz w:val="22"/>
          <w:szCs w:val="22"/>
        </w:rPr>
      </w:pPr>
      <w:r>
        <w:rPr>
          <w:rFonts w:eastAsia="Times New Roman" w:cs="Arial" w:ascii="Arial" w:hAnsi="Arial"/>
          <w:color w:val="auto"/>
          <w:position w:val="0"/>
          <w:sz w:val="22"/>
          <w:sz w:val="22"/>
          <w:szCs w:val="22"/>
          <w:vertAlign w:val="baseline"/>
          <w:lang w:eastAsia="it-IT"/>
        </w:rPr>
        <w:t xml:space="preserve">Residui riscossi nel 2024: </w:t>
        <w:tab/>
        <w:tab/>
        <w:tab/>
        <w:t>€ 1.378.614,08</w:t>
      </w:r>
    </w:p>
    <w:p>
      <w:pPr>
        <w:pStyle w:val="Normal"/>
        <w:widowControl w:val="false"/>
        <w:suppressAutoHyphens w:val="false"/>
        <w:overflowPunct w:val="false"/>
        <w:spacing w:lineRule="auto" w:line="240" w:before="0" w:after="120"/>
        <w:ind w:left="0" w:right="0" w:hanging="0"/>
        <w:jc w:val="both"/>
        <w:textAlignment w:val="baseline"/>
        <w:rPr>
          <w:rFonts w:ascii="Arial" w:hAnsi="Arial"/>
          <w:color w:val="auto"/>
          <w:sz w:val="22"/>
          <w:szCs w:val="22"/>
        </w:rPr>
      </w:pPr>
      <w:r>
        <w:rPr>
          <w:rFonts w:cs="Arial" w:ascii="Arial" w:hAnsi="Arial"/>
          <w:color w:val="auto" w:themeColor="text1" w:themeTint="bf"/>
          <w:position w:val="0"/>
          <w:sz w:val="22"/>
          <w:sz w:val="22"/>
          <w:szCs w:val="22"/>
          <w:vertAlign w:val="baseline"/>
        </w:rPr>
        <w:t>Residui al 31/12/2024:</w:t>
        <w:tab/>
        <w:tab/>
        <w:t xml:space="preserve">     </w:t>
        <w:tab/>
        <w:t>€      15.953,70</w:t>
      </w:r>
    </w:p>
    <w:p>
      <w:pPr>
        <w:pStyle w:val="Normal"/>
        <w:widowControl w:val="false"/>
        <w:suppressAutoHyphens w:val="false"/>
        <w:overflowPunct w:val="false"/>
        <w:spacing w:lineRule="auto" w:line="240" w:before="0" w:after="120"/>
        <w:ind w:left="0" w:right="0" w:hanging="0"/>
        <w:jc w:val="both"/>
        <w:textAlignment w:val="baseline"/>
        <w:rPr>
          <w:rFonts w:ascii="Arial" w:hAnsi="Arial"/>
          <w:color w:val="auto"/>
          <w:sz w:val="22"/>
          <w:szCs w:val="22"/>
        </w:rPr>
      </w:pPr>
      <w:r>
        <w:rPr>
          <w:rFonts w:cs="Arial" w:ascii="Arial" w:hAnsi="Arial"/>
          <w:color w:val="auto" w:themeColor="text1" w:themeTint="bf"/>
          <w:position w:val="0"/>
          <w:sz w:val="22"/>
          <w:sz w:val="22"/>
          <w:szCs w:val="22"/>
          <w:vertAlign w:val="baseline"/>
        </w:rPr>
        <w:t>Residui della competenza:</w:t>
        <w:tab/>
        <w:tab/>
        <w:t xml:space="preserve">      </w:t>
        <w:tab/>
        <w:t>€      92.836,23</w:t>
      </w:r>
    </w:p>
    <w:p>
      <w:pPr>
        <w:pStyle w:val="Normal"/>
        <w:widowControl w:val="false"/>
        <w:suppressAutoHyphens w:val="false"/>
        <w:overflowPunct w:val="false"/>
        <w:spacing w:lineRule="auto" w:line="240" w:before="0" w:after="120"/>
        <w:ind w:left="0" w:right="0" w:hanging="0"/>
        <w:jc w:val="both"/>
        <w:textAlignment w:val="baseline"/>
        <w:rPr>
          <w:rFonts w:ascii="Arial" w:hAnsi="Arial"/>
          <w:color w:val="auto"/>
          <w:sz w:val="22"/>
          <w:szCs w:val="22"/>
        </w:rPr>
      </w:pPr>
      <w:r>
        <w:rPr>
          <w:rFonts w:eastAsia="Times New Roman" w:cs="Arial" w:ascii="Arial" w:hAnsi="Arial"/>
          <w:color w:val="auto" w:themeColor="text1" w:themeTint="bf"/>
          <w:position w:val="0"/>
          <w:sz w:val="22"/>
          <w:sz w:val="22"/>
          <w:szCs w:val="22"/>
          <w:vertAlign w:val="baseline"/>
          <w:lang w:eastAsia="it-IT"/>
        </w:rPr>
        <w:t>Residui totali:</w:t>
        <w:tab/>
        <w:tab/>
        <w:tab/>
        <w:tab/>
        <w:t xml:space="preserve">      </w:t>
        <w:tab/>
        <w:t>€</w:t>
      </w:r>
      <w:r>
        <w:rPr>
          <w:rFonts w:eastAsia="Times New Roman" w:cs="Arial" w:ascii="Arial" w:hAnsi="Arial"/>
          <w:color w:val="auto" w:themeColor="text1" w:themeTint="bf"/>
          <w:sz w:val="22"/>
          <w:szCs w:val="22"/>
          <w:lang w:eastAsia="it-IT"/>
        </w:rPr>
        <w:t xml:space="preserve">    </w:t>
      </w:r>
      <w:r>
        <w:rPr>
          <w:rFonts w:eastAsia="Times New Roman" w:cs="Arial" w:ascii="Arial" w:hAnsi="Arial"/>
          <w:color w:val="auto" w:themeColor="text1" w:themeTint="bf"/>
          <w:position w:val="0"/>
          <w:sz w:val="22"/>
          <w:sz w:val="22"/>
          <w:szCs w:val="22"/>
          <w:vertAlign w:val="baseline"/>
          <w:lang w:eastAsia="it-IT"/>
        </w:rPr>
        <w:t>108.789,93</w:t>
      </w:r>
    </w:p>
    <w:p>
      <w:pPr>
        <w:pStyle w:val="Normal"/>
        <w:widowControl w:val="false"/>
        <w:suppressAutoHyphens w:val="false"/>
        <w:overflowPunct w:val="false"/>
        <w:spacing w:lineRule="auto" w:line="240" w:before="0" w:after="120"/>
        <w:ind w:left="0" w:right="0" w:hanging="0"/>
        <w:jc w:val="both"/>
        <w:textAlignment w:val="baseline"/>
        <w:rPr>
          <w:rFonts w:cs="Arial"/>
          <w:color w:themeColor="text1" w:themeTint="bf"/>
          <w:position w:val="0"/>
          <w:sz w:val="21"/>
          <w:sz w:val="21"/>
          <w:vertAlign w:val="baseline"/>
        </w:rPr>
      </w:pPr>
      <w:r>
        <w:rPr>
          <w:rFonts w:cs="Arial"/>
          <w:color w:themeColor="text1" w:themeTint="bf"/>
          <w:position w:val="0"/>
          <w:sz w:val="21"/>
          <w:sz w:val="21"/>
          <w:vertAlign w:val="baseline"/>
        </w:rPr>
      </w:r>
    </w:p>
    <w:p>
      <w:pPr>
        <w:pStyle w:val="Normal"/>
        <w:widowControl w:val="false"/>
        <w:suppressAutoHyphens w:val="false"/>
        <w:overflowPunct w:val="false"/>
        <w:spacing w:lineRule="auto" w:line="240" w:before="0" w:after="120"/>
        <w:ind w:left="0" w:right="0" w:hanging="0"/>
        <w:jc w:val="both"/>
        <w:textAlignment w:val="baseline"/>
        <w:rPr>
          <w:rFonts w:cs="Arial"/>
          <w:color w:themeColor="text1" w:themeTint="bf"/>
          <w:position w:val="0"/>
          <w:sz w:val="21"/>
          <w:sz w:val="21"/>
          <w:vertAlign w:val="baseline"/>
        </w:rPr>
      </w:pPr>
      <w:r>
        <w:rPr>
          <w:rFonts w:cs="Arial"/>
          <w:color w:themeColor="text1" w:themeTint="bf"/>
          <w:position w:val="0"/>
          <w:sz w:val="21"/>
          <w:sz w:val="21"/>
          <w:vertAlign w:val="baseline"/>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t>TARSU-TIA-TARI</w:t>
      </w:r>
    </w:p>
    <w:p>
      <w:pPr>
        <w:pStyle w:val="Normal"/>
        <w:widowControl w:val="false"/>
        <w:numPr>
          <w:ilvl w:val="0"/>
          <w:numId w:val="0"/>
        </w:numPr>
        <w:overflowPunct w:val="true"/>
        <w:spacing w:lineRule="auto" w:line="240" w:before="12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Le entrate accertate nell’anno 2024 sono </w:t>
      </w:r>
      <w:r>
        <w:rPr>
          <w:rFonts w:eastAsia="Times New Roman" w:cs="Arial" w:ascii="Arial" w:hAnsi="Arial"/>
          <w:b/>
          <w:i/>
          <w:iCs/>
          <w:color w:val="auto"/>
          <w:szCs w:val="22"/>
          <w:lang w:eastAsia="it-IT"/>
        </w:rPr>
        <w:t>diminuite</w:t>
      </w:r>
      <w:r>
        <w:rPr>
          <w:rFonts w:eastAsia="Times New Roman" w:cs="Arial" w:ascii="Arial" w:hAnsi="Arial"/>
          <w:i/>
          <w:color w:val="auto"/>
          <w:szCs w:val="22"/>
          <w:lang w:eastAsia="it-IT"/>
        </w:rPr>
        <w:t xml:space="preserve"> </w:t>
      </w:r>
      <w:r>
        <w:rPr>
          <w:rFonts w:eastAsia="Times New Roman" w:cs="Arial" w:ascii="Arial" w:hAnsi="Arial"/>
          <w:color w:val="auto"/>
          <w:szCs w:val="22"/>
          <w:lang w:eastAsia="it-IT"/>
        </w:rPr>
        <w:t>di Euro 118.460,66 rispetto a quelle dell’esercizio 2023 in funzione delle bollettazioni effettivamente emesse nell’anno 2024.</w:t>
      </w:r>
    </w:p>
    <w:p>
      <w:pPr>
        <w:pStyle w:val="Normal"/>
        <w:widowControl w:val="false"/>
        <w:suppressAutoHyphens w:val="false"/>
        <w:overflowPunct w:val="false"/>
        <w:spacing w:lineRule="auto" w:line="240" w:before="0" w:after="120"/>
        <w:ind w:left="0" w:right="0" w:hanging="0"/>
        <w:jc w:val="both"/>
        <w:textAlignment w:val="baseline"/>
        <w:rPr>
          <w:rFonts w:ascii="Arial" w:hAnsi="Arial"/>
          <w:color w:val="auto"/>
          <w:sz w:val="22"/>
          <w:szCs w:val="22"/>
        </w:rPr>
      </w:pPr>
      <w:r>
        <w:rPr>
          <w:rFonts w:cs="Arial" w:ascii="Arial" w:hAnsi="Arial"/>
          <w:color w:val="auto" w:themeColor="text1" w:themeTint="bf"/>
          <w:position w:val="0"/>
          <w:sz w:val="22"/>
          <w:sz w:val="22"/>
          <w:szCs w:val="22"/>
          <w:vertAlign w:val="baseline"/>
        </w:rPr>
        <w:t>La movimentazione delle somme rimaste a residuo per</w:t>
      </w:r>
      <w:r>
        <w:rPr>
          <w:rFonts w:cs="Arial" w:ascii="Arial" w:hAnsi="Arial"/>
          <w:color w:val="auto" w:themeColor="text1" w:themeTint="bf"/>
          <w:sz w:val="22"/>
          <w:szCs w:val="22"/>
        </w:rPr>
        <w:t xml:space="preserve"> TARSU-TIA-TARI </w:t>
      </w:r>
      <w:r>
        <w:rPr>
          <w:rFonts w:cs="Arial" w:ascii="Arial" w:hAnsi="Arial"/>
          <w:color w:val="auto" w:themeColor="text1" w:themeTint="bf"/>
          <w:position w:val="0"/>
          <w:sz w:val="22"/>
          <w:sz w:val="22"/>
          <w:szCs w:val="22"/>
          <w:vertAlign w:val="baseline"/>
        </w:rPr>
        <w:t>è stata la seguente:</w:t>
      </w:r>
    </w:p>
    <w:p>
      <w:pPr>
        <w:pStyle w:val="Normal"/>
        <w:widowControl w:val="false"/>
        <w:suppressAutoHyphens w:val="false"/>
        <w:overflowPunct w:val="false"/>
        <w:spacing w:lineRule="auto" w:line="240" w:before="0" w:after="120"/>
        <w:ind w:left="0" w:right="0" w:hanging="0"/>
        <w:jc w:val="both"/>
        <w:textAlignment w:val="baseline"/>
        <w:rPr>
          <w:rFonts w:ascii="Arial" w:hAnsi="Arial"/>
          <w:color w:val="auto"/>
          <w:sz w:val="22"/>
          <w:szCs w:val="22"/>
        </w:rPr>
      </w:pPr>
      <w:r>
        <w:rPr>
          <w:rFonts w:cs="Arial" w:ascii="Arial" w:hAnsi="Arial"/>
          <w:color w:val="auto" w:themeColor="text1" w:themeTint="bf"/>
          <w:position w:val="0"/>
          <w:sz w:val="22"/>
          <w:sz w:val="22"/>
          <w:szCs w:val="22"/>
          <w:vertAlign w:val="baseline"/>
        </w:rPr>
        <w:t>Residui attivi al 1/1/2024:</w:t>
        <w:tab/>
        <w:tab/>
        <w:t xml:space="preserve">      € 4.242.395,19</w:t>
      </w:r>
    </w:p>
    <w:p>
      <w:pPr>
        <w:pStyle w:val="Normal"/>
        <w:widowControl w:val="false"/>
        <w:suppressAutoHyphens w:val="false"/>
        <w:overflowPunct w:val="false"/>
        <w:spacing w:lineRule="auto" w:line="240" w:before="0" w:after="120"/>
        <w:ind w:left="0" w:right="0" w:hanging="0"/>
        <w:jc w:val="both"/>
        <w:textAlignment w:val="baseline"/>
        <w:rPr>
          <w:rFonts w:ascii="Arial" w:hAnsi="Arial"/>
          <w:color w:val="auto"/>
          <w:sz w:val="22"/>
          <w:szCs w:val="22"/>
        </w:rPr>
      </w:pPr>
      <w:r>
        <w:rPr>
          <w:rFonts w:cs="Arial" w:ascii="Arial" w:hAnsi="Arial"/>
          <w:color w:val="auto" w:themeColor="text1" w:themeTint="bf"/>
          <w:position w:val="0"/>
          <w:sz w:val="22"/>
          <w:sz w:val="22"/>
          <w:szCs w:val="22"/>
          <w:vertAlign w:val="baseline"/>
        </w:rPr>
        <w:t>Residui eliminati o riaccertati:</w:t>
        <w:tab/>
        <w:t xml:space="preserve">    - € 1.348.331,50</w:t>
      </w:r>
    </w:p>
    <w:p>
      <w:pPr>
        <w:pStyle w:val="Normal"/>
        <w:widowControl w:val="false"/>
        <w:suppressAutoHyphens w:val="false"/>
        <w:overflowPunct w:val="false"/>
        <w:spacing w:lineRule="auto" w:line="240" w:before="0" w:after="120"/>
        <w:ind w:left="0" w:right="0" w:hanging="0"/>
        <w:jc w:val="both"/>
        <w:textAlignment w:val="baseline"/>
        <w:rPr>
          <w:rFonts w:ascii="Arial" w:hAnsi="Arial"/>
          <w:color w:val="auto"/>
          <w:sz w:val="22"/>
          <w:szCs w:val="22"/>
        </w:rPr>
      </w:pPr>
      <w:r>
        <w:rPr>
          <w:rFonts w:cs="Arial" w:ascii="Arial" w:hAnsi="Arial"/>
          <w:color w:val="auto" w:themeColor="text1" w:themeTint="bf"/>
          <w:position w:val="0"/>
          <w:sz w:val="22"/>
          <w:sz w:val="22"/>
          <w:szCs w:val="22"/>
          <w:vertAlign w:val="baseline"/>
        </w:rPr>
        <w:t>Residui riscossi nel 2024:</w:t>
        <w:tab/>
        <w:tab/>
        <w:t xml:space="preserve">      €   666.348,25</w:t>
      </w:r>
    </w:p>
    <w:p>
      <w:pPr>
        <w:pStyle w:val="Normal"/>
        <w:widowControl w:val="false"/>
        <w:suppressAutoHyphens w:val="false"/>
        <w:overflowPunct w:val="false"/>
        <w:spacing w:lineRule="auto" w:line="240" w:before="0" w:after="120"/>
        <w:ind w:left="0" w:right="0" w:hanging="0"/>
        <w:jc w:val="both"/>
        <w:textAlignment w:val="baseline"/>
        <w:rPr>
          <w:rFonts w:ascii="Arial" w:hAnsi="Arial"/>
          <w:color w:val="auto"/>
          <w:sz w:val="22"/>
          <w:szCs w:val="22"/>
        </w:rPr>
      </w:pPr>
      <w:r>
        <w:rPr>
          <w:rFonts w:cs="Arial" w:ascii="Arial" w:hAnsi="Arial"/>
          <w:color w:val="auto" w:themeColor="text1" w:themeTint="bf"/>
          <w:position w:val="0"/>
          <w:sz w:val="22"/>
          <w:sz w:val="22"/>
          <w:szCs w:val="22"/>
          <w:vertAlign w:val="baseline"/>
        </w:rPr>
        <w:t>Residui al 31/12/2024:</w:t>
        <w:tab/>
        <w:tab/>
        <w:t xml:space="preserve">      € 2.227.715,44</w:t>
      </w:r>
    </w:p>
    <w:p>
      <w:pPr>
        <w:pStyle w:val="Normal"/>
        <w:widowControl w:val="false"/>
        <w:suppressAutoHyphens w:val="false"/>
        <w:overflowPunct w:val="false"/>
        <w:spacing w:lineRule="auto" w:line="240" w:before="0" w:after="120"/>
        <w:ind w:left="0" w:right="0" w:hanging="0"/>
        <w:jc w:val="both"/>
        <w:textAlignment w:val="baseline"/>
        <w:rPr>
          <w:rFonts w:ascii="Arial" w:hAnsi="Arial"/>
          <w:color w:val="auto"/>
          <w:sz w:val="22"/>
          <w:szCs w:val="22"/>
        </w:rPr>
      </w:pPr>
      <w:r>
        <w:rPr>
          <w:rFonts w:cs="Arial" w:ascii="Arial" w:hAnsi="Arial"/>
          <w:color w:val="auto" w:themeColor="text1" w:themeTint="bf"/>
          <w:position w:val="0"/>
          <w:sz w:val="22"/>
          <w:sz w:val="22"/>
          <w:szCs w:val="22"/>
          <w:vertAlign w:val="baseline"/>
        </w:rPr>
        <w:t>Residui della competenza:</w:t>
        <w:tab/>
        <w:tab/>
        <w:t xml:space="preserve">      € 1.374.940,29</w:t>
      </w:r>
    </w:p>
    <w:p>
      <w:pPr>
        <w:pStyle w:val="Normal"/>
        <w:widowControl w:val="false"/>
        <w:suppressAutoHyphens w:val="false"/>
        <w:overflowPunct w:val="false"/>
        <w:spacing w:lineRule="auto" w:line="240" w:before="0" w:after="120"/>
        <w:ind w:left="0" w:right="0" w:hanging="0"/>
        <w:jc w:val="both"/>
        <w:textAlignment w:val="baseline"/>
        <w:rPr>
          <w:rFonts w:ascii="Arial" w:hAnsi="Arial"/>
          <w:color w:val="auto"/>
          <w:sz w:val="22"/>
          <w:szCs w:val="22"/>
        </w:rPr>
      </w:pPr>
      <w:r>
        <w:rPr>
          <w:rFonts w:eastAsia="Times New Roman" w:cs="Arial" w:ascii="Arial" w:hAnsi="Arial"/>
          <w:color w:val="auto" w:themeColor="text1" w:themeTint="bf"/>
          <w:position w:val="0"/>
          <w:sz w:val="22"/>
          <w:sz w:val="22"/>
          <w:szCs w:val="22"/>
          <w:vertAlign w:val="baseline"/>
          <w:lang w:eastAsia="it-IT"/>
        </w:rPr>
        <w:t>Residui totali:</w:t>
        <w:tab/>
        <w:tab/>
        <w:tab/>
        <w:tab/>
        <w:t xml:space="preserve">      €</w:t>
      </w:r>
      <w:r>
        <w:rPr>
          <w:rFonts w:eastAsia="Times New Roman" w:cs="Arial" w:ascii="Arial" w:hAnsi="Arial"/>
          <w:color w:val="auto" w:themeColor="text1" w:themeTint="bf"/>
          <w:sz w:val="22"/>
          <w:szCs w:val="22"/>
          <w:lang w:eastAsia="it-IT"/>
        </w:rPr>
        <w:t xml:space="preserve"> </w:t>
      </w:r>
      <w:r>
        <w:rPr>
          <w:rFonts w:eastAsia="Times New Roman" w:cs="Arial" w:ascii="Arial" w:hAnsi="Arial"/>
          <w:color w:val="auto" w:themeColor="text1" w:themeTint="bf"/>
          <w:position w:val="0"/>
          <w:sz w:val="22"/>
          <w:sz w:val="22"/>
          <w:szCs w:val="22"/>
          <w:vertAlign w:val="baseline"/>
          <w:lang w:eastAsia="it-IT"/>
        </w:rPr>
        <w:t>3.602.655,73</w:t>
      </w:r>
    </w:p>
    <w:p>
      <w:pPr>
        <w:pStyle w:val="Normal"/>
        <w:widowControl w:val="false"/>
        <w:overflowPunct w:val="true"/>
        <w:spacing w:lineRule="auto" w:line="240" w:before="0" w:after="120"/>
        <w:textAlignment w:val="baseline"/>
        <w:rPr>
          <w:rFonts w:ascii="Arial" w:hAnsi="Arial" w:eastAsia="Times New Roman" w:cs="Times New Roman"/>
          <w:color w:val="auto" w:themeColor="text1" w:themeTint="bf"/>
          <w:szCs w:val="20"/>
          <w:highlight w:val="none"/>
          <w:shd w:fill="auto" w:val="clear"/>
          <w:lang w:eastAsia="it-IT"/>
        </w:rPr>
      </w:pPr>
      <w:r>
        <w:rPr>
          <w:rFonts w:eastAsia="Times New Roman" w:cs="Times New Roman" w:ascii="Arial" w:hAnsi="Arial"/>
          <w:color w:val="000000" w:themeTint="bf"/>
          <w:szCs w:val="20"/>
          <w:shd w:fill="auto" w:val="clear"/>
          <w:lang w:eastAsia="it-IT"/>
        </w:rPr>
      </w:r>
    </w:p>
    <w:p>
      <w:pPr>
        <w:pStyle w:val="Normal"/>
        <w:widowControl w:val="false"/>
        <w:overflowPunct w:val="true"/>
        <w:spacing w:lineRule="auto" w:line="240" w:before="0" w:after="120"/>
        <w:textAlignment w:val="baseline"/>
        <w:rPr>
          <w:rFonts w:ascii="Arial" w:hAnsi="Arial" w:eastAsia="Times New Roman" w:cs="Times New Roman"/>
          <w:color w:val="auto" w:themeColor="text1" w:themeTint="bf"/>
          <w:szCs w:val="20"/>
          <w:highlight w:val="none"/>
          <w:shd w:fill="auto" w:val="clear"/>
          <w:lang w:eastAsia="it-IT"/>
        </w:rPr>
      </w:pPr>
      <w:r>
        <w:rPr>
          <w:rFonts w:eastAsia="Times New Roman" w:cs="Times New Roman" w:ascii="Arial" w:hAnsi="Arial"/>
          <w:color w:val="000000" w:themeColor="text1" w:themeTint="bf"/>
          <w:szCs w:val="20"/>
          <w:shd w:fill="auto" w:val="clear"/>
          <w:lang w:eastAsia="it-IT"/>
        </w:rPr>
        <w:t>FCDE gettito ordinario ed accertamenti tributari</w:t>
        <w:tab/>
        <w:t>77,54 %</w:t>
      </w:r>
    </w:p>
    <w:p>
      <w:pPr>
        <w:pStyle w:val="Normal"/>
        <w:widowControl w:val="false"/>
        <w:overflowPunct w:val="true"/>
        <w:spacing w:lineRule="auto" w:line="240" w:before="0" w:after="120"/>
        <w:textAlignment w:val="baseline"/>
        <w:rPr>
          <w:rFonts w:ascii="Arial" w:hAnsi="Arial" w:eastAsia="Times New Roman" w:cs="Times New Roman"/>
          <w:color w:val="auto"/>
          <w:szCs w:val="20"/>
          <w:highlight w:val="green"/>
          <w:lang w:eastAsia="it-IT"/>
        </w:rPr>
      </w:pPr>
      <w:r>
        <w:rPr>
          <w:rFonts w:eastAsia="Times New Roman" w:cs="Times New Roman" w:ascii="Arial" w:hAnsi="Arial"/>
          <w:color w:val="auto"/>
          <w:szCs w:val="20"/>
          <w:highlight w:val="green"/>
          <w:lang w:eastAsia="it-IT"/>
        </w:rPr>
      </w:r>
    </w:p>
    <w:p>
      <w:pPr>
        <w:pStyle w:val="Normal"/>
        <w:widowControl w:val="false"/>
        <w:overflowPunct w:val="true"/>
        <w:spacing w:lineRule="auto" w:line="240" w:before="0" w:after="120"/>
        <w:textAlignment w:val="baseline"/>
        <w:rPr>
          <w:rFonts w:ascii="Arial" w:hAnsi="Arial" w:eastAsia="Times New Roman" w:cs="Times New Roman"/>
          <w:color w:val="auto"/>
          <w:szCs w:val="20"/>
          <w:highlight w:val="green"/>
          <w:lang w:eastAsia="it-IT"/>
        </w:rPr>
      </w:pPr>
      <w:r>
        <w:rPr>
          <w:rFonts w:eastAsia="Times New Roman" w:cs="Times New Roman" w:ascii="Arial" w:hAnsi="Arial"/>
          <w:color w:val="auto"/>
          <w:szCs w:val="20"/>
          <w:highlight w:val="green"/>
          <w:lang w:eastAsia="it-IT"/>
        </w:rPr>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bookmarkStart w:id="75" w:name="_Toc379377460"/>
      <w:r>
        <w:rPr>
          <w:rFonts w:eastAsia="Times New Roman" w:cs="Arial" w:ascii="Arial" w:hAnsi="Arial"/>
          <w:b/>
          <w:color w:val="auto"/>
          <w:sz w:val="24"/>
          <w:szCs w:val="24"/>
          <w:u w:val="single"/>
          <w:lang w:eastAsia="it-IT"/>
        </w:rPr>
        <w:t>Contributi per proventi abilitativi edilizi</w:t>
      </w:r>
      <w:bookmarkEnd w:id="75"/>
    </w:p>
    <w:p>
      <w:pPr>
        <w:pStyle w:val="Normal"/>
        <w:widowControl w:val="false"/>
        <w:overflowPunct w:val="true"/>
        <w:spacing w:lineRule="auto" w:line="240" w:before="120" w:after="240"/>
        <w:textAlignment w:val="baseline"/>
        <w:rPr>
          <w:rFonts w:ascii="Arial" w:hAnsi="Arial" w:eastAsia="Times New Roman" w:cs="Times New Roman"/>
          <w:color w:val="auto"/>
          <w:szCs w:val="22"/>
          <w:lang w:eastAsia="it-IT"/>
        </w:rPr>
      </w:pPr>
      <w:r>
        <w:rPr>
          <w:rFonts w:eastAsia="Times New Roman" w:cs="Times New Roman" w:ascii="Arial" w:hAnsi="Arial"/>
          <w:color w:val="auto"/>
          <w:szCs w:val="22"/>
          <w:lang w:eastAsia="it-IT"/>
        </w:rPr>
        <w:t>Gli accertamenti negli ultimi tre esercizi hanno subito la seguente evoluzione:</w:t>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tbl>
      <w:tblPr>
        <w:tblW w:w="7531" w:type="dxa"/>
        <w:jc w:val="left"/>
        <w:tblInd w:w="-30" w:type="dxa"/>
        <w:tblLayout w:type="fixed"/>
        <w:tblCellMar>
          <w:top w:w="0" w:type="dxa"/>
          <w:left w:w="30" w:type="dxa"/>
          <w:bottom w:w="0" w:type="dxa"/>
          <w:right w:w="30" w:type="dxa"/>
        </w:tblCellMar>
      </w:tblPr>
      <w:tblGrid>
        <w:gridCol w:w="2424"/>
        <w:gridCol w:w="1580"/>
        <w:gridCol w:w="1568"/>
        <w:gridCol w:w="1958"/>
      </w:tblGrid>
      <w:tr>
        <w:trPr>
          <w:trHeight w:val="850" w:hRule="atLeast"/>
        </w:trPr>
        <w:tc>
          <w:tcPr>
            <w:tcW w:w="2424" w:type="dxa"/>
            <w:tcBorders/>
            <w:vAlign w:val="center"/>
          </w:tcPr>
          <w:p>
            <w:pPr>
              <w:pStyle w:val="Normal"/>
              <w:widowControl w:val="false"/>
              <w:tabs>
                <w:tab w:val="clear" w:pos="708"/>
              </w:tabs>
              <w:spacing w:before="0" w:after="200"/>
              <w:jc w:val="both"/>
              <w:rPr>
                <w:rFonts w:ascii="Arial" w:hAnsi="Arial" w:eastAsia="Times New Roman" w:cs="Arial"/>
                <w:b/>
                <w:b/>
                <w:color w:val="auto"/>
                <w:szCs w:val="22"/>
                <w:lang w:eastAsia="it-IT"/>
              </w:rPr>
            </w:pPr>
            <w:r>
              <w:rPr>
                <w:rFonts w:eastAsia="Times New Roman" w:cs="Arial" w:ascii="Arial" w:hAnsi="Arial"/>
                <w:b/>
                <w:color w:val="auto"/>
                <w:szCs w:val="22"/>
                <w:lang w:eastAsia="it-IT"/>
              </w:rPr>
              <w:t>Proventi concessioni edilizie e monetizzazioni</w:t>
            </w:r>
          </w:p>
        </w:tc>
        <w:tc>
          <w:tcPr>
            <w:tcW w:w="1580" w:type="dxa"/>
            <w:tcBorders/>
            <w:vAlign w:val="center"/>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b/>
              </w:rPr>
              <w:t>2022</w:t>
            </w:r>
          </w:p>
        </w:tc>
        <w:tc>
          <w:tcPr>
            <w:tcW w:w="1568" w:type="dxa"/>
            <w:tcBorders/>
            <w:vAlign w:val="center"/>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b/>
              </w:rPr>
              <w:t>2023</w:t>
            </w:r>
          </w:p>
        </w:tc>
        <w:tc>
          <w:tcPr>
            <w:tcW w:w="1958" w:type="dxa"/>
            <w:tcBorders/>
            <w:vAlign w:val="center"/>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b/>
              </w:rPr>
              <w:t>2024</w:t>
            </w:r>
          </w:p>
        </w:tc>
      </w:tr>
      <w:tr>
        <w:trPr>
          <w:trHeight w:val="316" w:hRule="atLeast"/>
        </w:trPr>
        <w:tc>
          <w:tcPr>
            <w:tcW w:w="2424" w:type="dxa"/>
            <w:tcBorders/>
            <w:vAlign w:val="center"/>
          </w:tcPr>
          <w:p>
            <w:pPr>
              <w:pStyle w:val="Normal"/>
              <w:widowControl w:val="false"/>
              <w:tabs>
                <w:tab w:val="clear" w:pos="708"/>
              </w:tabs>
              <w:spacing w:before="0" w:after="200"/>
              <w:jc w:val="both"/>
              <w:rPr>
                <w:rFonts w:ascii="Arial" w:hAnsi="Arial" w:eastAsia="Times New Roman" w:cs="Arial"/>
                <w:b/>
                <w:b/>
                <w:color w:val="auto"/>
                <w:szCs w:val="22"/>
                <w:lang w:eastAsia="it-IT"/>
              </w:rPr>
            </w:pPr>
            <w:r>
              <w:rPr/>
              <w:t>Accertamento</w:t>
            </w:r>
          </w:p>
        </w:tc>
        <w:tc>
          <w:tcPr>
            <w:tcW w:w="1580" w:type="dxa"/>
            <w:tcBorders/>
            <w:vAlign w:val="bottom"/>
          </w:tcPr>
          <w:p>
            <w:pPr>
              <w:pStyle w:val="Normal"/>
              <w:widowControl w:val="false"/>
              <w:tabs>
                <w:tab w:val="clear" w:pos="708"/>
              </w:tabs>
              <w:spacing w:before="0" w:after="200"/>
              <w:jc w:val="both"/>
              <w:rPr>
                <w:rFonts w:ascii="Arial" w:hAnsi="Arial" w:eastAsia="Times New Roman" w:cs="Arial"/>
                <w:b/>
                <w:b/>
                <w:color w:val="auto"/>
                <w:szCs w:val="22"/>
                <w:lang w:eastAsia="it-IT"/>
              </w:rPr>
            </w:pPr>
            <w:r>
              <w:rPr/>
              <w:t xml:space="preserve"> € </w:t>
            </w:r>
            <w:r>
              <w:rPr/>
              <w:t>640.747,30</w:t>
            </w:r>
          </w:p>
        </w:tc>
        <w:tc>
          <w:tcPr>
            <w:tcW w:w="1568" w:type="dxa"/>
            <w:tcBorders/>
            <w:vAlign w:val="bottom"/>
          </w:tcPr>
          <w:p>
            <w:pPr>
              <w:pStyle w:val="Normal"/>
              <w:widowControl w:val="false"/>
              <w:tabs>
                <w:tab w:val="clear" w:pos="708"/>
              </w:tabs>
              <w:spacing w:before="0" w:after="200"/>
              <w:jc w:val="both"/>
              <w:rPr>
                <w:rFonts w:ascii="Arial" w:hAnsi="Arial" w:eastAsia="Times New Roman" w:cs="Arial"/>
                <w:b/>
                <w:b/>
                <w:color w:val="auto"/>
                <w:szCs w:val="22"/>
                <w:lang w:eastAsia="it-IT"/>
              </w:rPr>
            </w:pPr>
            <w:r>
              <w:rPr/>
              <w:t xml:space="preserve"> € </w:t>
            </w:r>
            <w:r>
              <w:rPr/>
              <w:t>581.591,62</w:t>
            </w:r>
          </w:p>
        </w:tc>
        <w:tc>
          <w:tcPr>
            <w:tcW w:w="1958" w:type="dxa"/>
            <w:tcBorders/>
            <w:vAlign w:val="center"/>
          </w:tcPr>
          <w:p>
            <w:pPr>
              <w:pStyle w:val="Normal"/>
              <w:widowControl w:val="false"/>
              <w:tabs>
                <w:tab w:val="clear" w:pos="708"/>
              </w:tabs>
              <w:spacing w:before="0" w:after="200"/>
              <w:jc w:val="both"/>
              <w:rPr>
                <w:rFonts w:ascii="Arial" w:hAnsi="Arial" w:eastAsia="Times New Roman" w:cs="Arial"/>
                <w:b/>
                <w:b/>
                <w:color w:val="auto"/>
                <w:szCs w:val="22"/>
                <w:lang w:eastAsia="it-IT"/>
              </w:rPr>
            </w:pPr>
            <w:r>
              <w:rPr/>
              <w:t xml:space="preserve"> € </w:t>
            </w:r>
            <w:r>
              <w:rPr/>
              <w:t>235.701,66</w:t>
            </w:r>
          </w:p>
        </w:tc>
      </w:tr>
      <w:tr>
        <w:trPr>
          <w:trHeight w:val="316" w:hRule="atLeast"/>
        </w:trPr>
        <w:tc>
          <w:tcPr>
            <w:tcW w:w="2424" w:type="dxa"/>
            <w:tcBorders/>
            <w:vAlign w:val="center"/>
          </w:tcPr>
          <w:p>
            <w:pPr>
              <w:pStyle w:val="Normal"/>
              <w:widowControl w:val="false"/>
              <w:tabs>
                <w:tab w:val="clear" w:pos="708"/>
              </w:tabs>
              <w:spacing w:before="0" w:after="200"/>
              <w:jc w:val="both"/>
              <w:rPr>
                <w:rFonts w:ascii="Arial" w:hAnsi="Arial" w:eastAsia="Times New Roman" w:cs="Arial"/>
                <w:b/>
                <w:b/>
                <w:color w:val="auto"/>
                <w:szCs w:val="22"/>
                <w:lang w:eastAsia="it-IT"/>
              </w:rPr>
            </w:pPr>
            <w:r>
              <w:rPr/>
              <w:t>Riscossione</w:t>
            </w:r>
          </w:p>
        </w:tc>
        <w:tc>
          <w:tcPr>
            <w:tcW w:w="1580" w:type="dxa"/>
            <w:tcBorders/>
            <w:vAlign w:val="bottom"/>
          </w:tcPr>
          <w:p>
            <w:pPr>
              <w:pStyle w:val="Normal"/>
              <w:widowControl w:val="false"/>
              <w:tabs>
                <w:tab w:val="clear" w:pos="708"/>
              </w:tabs>
              <w:spacing w:before="0" w:after="200"/>
              <w:jc w:val="both"/>
              <w:rPr>
                <w:rFonts w:ascii="Arial" w:hAnsi="Arial" w:eastAsia="Times New Roman" w:cs="Arial"/>
                <w:b/>
                <w:b/>
                <w:color w:val="auto"/>
                <w:szCs w:val="22"/>
                <w:lang w:eastAsia="it-IT"/>
              </w:rPr>
            </w:pPr>
            <w:r>
              <w:rPr/>
              <w:t xml:space="preserve"> € </w:t>
            </w:r>
            <w:r>
              <w:rPr/>
              <w:t>640.747,30</w:t>
            </w:r>
          </w:p>
        </w:tc>
        <w:tc>
          <w:tcPr>
            <w:tcW w:w="1568" w:type="dxa"/>
            <w:tcBorders/>
            <w:vAlign w:val="bottom"/>
          </w:tcPr>
          <w:p>
            <w:pPr>
              <w:pStyle w:val="Normal"/>
              <w:widowControl w:val="false"/>
              <w:tabs>
                <w:tab w:val="clear" w:pos="708"/>
              </w:tabs>
              <w:spacing w:before="0" w:after="200"/>
              <w:jc w:val="both"/>
              <w:rPr>
                <w:rFonts w:ascii="Arial" w:hAnsi="Arial" w:eastAsia="Times New Roman" w:cs="Arial"/>
                <w:b/>
                <w:b/>
                <w:color w:val="auto"/>
                <w:szCs w:val="22"/>
                <w:lang w:eastAsia="it-IT"/>
              </w:rPr>
            </w:pPr>
            <w:r>
              <w:rPr/>
              <w:t xml:space="preserve"> € </w:t>
            </w:r>
            <w:r>
              <w:rPr/>
              <w:t>581.591,62</w:t>
            </w:r>
          </w:p>
        </w:tc>
        <w:tc>
          <w:tcPr>
            <w:tcW w:w="1958" w:type="dxa"/>
            <w:tcBorders/>
            <w:vAlign w:val="center"/>
          </w:tcPr>
          <w:p>
            <w:pPr>
              <w:pStyle w:val="Normal"/>
              <w:widowControl w:val="false"/>
              <w:tabs>
                <w:tab w:val="clear" w:pos="708"/>
              </w:tabs>
              <w:spacing w:before="0" w:after="200"/>
              <w:jc w:val="both"/>
              <w:rPr>
                <w:rFonts w:ascii="Arial" w:hAnsi="Arial" w:eastAsia="Times New Roman" w:cs="Arial"/>
                <w:b/>
                <w:b/>
                <w:color w:val="auto"/>
                <w:szCs w:val="22"/>
                <w:lang w:eastAsia="it-IT"/>
              </w:rPr>
            </w:pPr>
            <w:r>
              <w:rPr/>
              <w:t xml:space="preserve"> € </w:t>
            </w:r>
            <w:r>
              <w:rPr/>
              <w:t>235.701,66</w:t>
            </w:r>
          </w:p>
        </w:tc>
      </w:tr>
    </w:tbl>
    <w:p>
      <w:pPr>
        <w:pStyle w:val="Normal"/>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suppressAutoHyphens w:val="false"/>
        <w:overflowPunct w:val="false"/>
        <w:spacing w:lineRule="auto" w:line="240" w:before="240" w:after="120"/>
        <w:ind w:left="0" w:right="0" w:hanging="0"/>
        <w:jc w:val="both"/>
        <w:textAlignment w:val="baseline"/>
        <w:rPr/>
      </w:pPr>
      <w:r>
        <w:rPr>
          <w:rFonts w:eastAsia="Times New Roman" w:cs="Arial" w:ascii="Arial" w:hAnsi="Arial"/>
          <w:color w:val="auto" w:themeColor="text1" w:themeTint="bf"/>
          <w:position w:val="0"/>
          <w:sz w:val="22"/>
          <w:sz w:val="22"/>
          <w:szCs w:val="22"/>
          <w:vertAlign w:val="baseline"/>
          <w:lang w:eastAsia="it-IT"/>
        </w:rPr>
        <w:t>I contributi per permessi di costruire hanno finanziato esclusivamente spese in conto capitale.</w:t>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overflowPunct w:val="true"/>
        <w:spacing w:lineRule="auto" w:line="240" w:before="240" w:after="120"/>
        <w:jc w:val="center"/>
        <w:textAlignment w:val="baseline"/>
        <w:rPr>
          <w:rFonts w:ascii="Arial" w:hAnsi="Arial" w:eastAsia="Times New Roman" w:cs="Arial"/>
          <w:color w:val="auto"/>
          <w:sz w:val="20"/>
          <w:szCs w:val="20"/>
          <w:lang w:eastAsia="it-IT"/>
        </w:rPr>
      </w:pPr>
      <w:r>
        <w:rPr>
          <w:rFonts w:eastAsia="Times New Roman" w:cs="Arial" w:ascii="Arial" w:hAnsi="Arial"/>
          <w:color w:val="auto"/>
          <w:sz w:val="20"/>
          <w:szCs w:val="20"/>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b/>
          <w:b/>
          <w:color w:val="auto"/>
          <w:sz w:val="24"/>
          <w:szCs w:val="24"/>
          <w:u w:val="single"/>
          <w:lang w:eastAsia="it-IT"/>
        </w:rPr>
      </w:pPr>
      <w:bookmarkStart w:id="76" w:name="_Toc379377463"/>
      <w:r>
        <w:rPr>
          <w:rFonts w:eastAsia="Times New Roman" w:cs="Arial" w:ascii="Arial" w:hAnsi="Arial"/>
          <w:b/>
          <w:color w:val="auto"/>
          <w:sz w:val="24"/>
          <w:szCs w:val="24"/>
          <w:u w:val="single"/>
          <w:lang w:eastAsia="it-IT"/>
        </w:rPr>
        <w:t>Sanzioni amministrative pecuniarie per violazione codice della strada</w:t>
      </w:r>
      <w:bookmarkEnd w:id="76"/>
    </w:p>
    <w:p>
      <w:pPr>
        <w:pStyle w:val="Normal"/>
        <w:widowControl w:val="false"/>
        <w:overflowPunct w:val="true"/>
        <w:spacing w:lineRule="auto" w:line="240" w:before="0" w:after="120"/>
        <w:textAlignment w:val="baseline"/>
        <w:rPr>
          <w:rFonts w:ascii="Arial" w:hAnsi="Arial" w:eastAsia="Times New Roman" w:cs="Times New Roman"/>
          <w:color w:val="auto"/>
          <w:sz w:val="20"/>
          <w:szCs w:val="20"/>
          <w:lang w:eastAsia="it-IT"/>
        </w:rPr>
      </w:pPr>
      <w:r>
        <w:rPr>
          <w:rFonts w:eastAsia="Times New Roman" w:cs="Times New Roman" w:ascii="Arial" w:hAnsi="Arial"/>
          <w:color w:val="auto"/>
          <w:sz w:val="20"/>
          <w:szCs w:val="20"/>
          <w:lang w:eastAsia="it-IT"/>
        </w:rPr>
        <w:t>(artt. 142 e 208 del d.lgs. 285/92)</w:t>
      </w:r>
    </w:p>
    <w:p>
      <w:pPr>
        <w:pStyle w:val="Normal"/>
        <w:widowControl w:val="false"/>
        <w:overflowPunct w:val="true"/>
        <w:spacing w:lineRule="auto" w:line="240" w:before="12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Le somme accertate negli ultimi tre esercizi hanno subito la seguente evoluzione:</w:t>
      </w:r>
    </w:p>
    <w:p>
      <w:pPr>
        <w:pStyle w:val="Normal"/>
        <w:widowControl w:val="false"/>
        <w:overflowPunct w:val="true"/>
        <w:spacing w:lineRule="auto" w:line="240" w:before="12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12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12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120" w:after="24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tbl>
      <w:tblPr>
        <w:tblW w:w="8272" w:type="dxa"/>
        <w:jc w:val="left"/>
        <w:tblInd w:w="-30" w:type="dxa"/>
        <w:tblLayout w:type="fixed"/>
        <w:tblCellMar>
          <w:top w:w="0" w:type="dxa"/>
          <w:left w:w="30" w:type="dxa"/>
          <w:bottom w:w="0" w:type="dxa"/>
          <w:right w:w="30" w:type="dxa"/>
        </w:tblCellMar>
      </w:tblPr>
      <w:tblGrid>
        <w:gridCol w:w="2728"/>
        <w:gridCol w:w="1934"/>
        <w:gridCol w:w="1652"/>
        <w:gridCol w:w="1957"/>
      </w:tblGrid>
      <w:tr>
        <w:trPr>
          <w:trHeight w:val="316" w:hRule="atLeast"/>
        </w:trPr>
        <w:tc>
          <w:tcPr>
            <w:tcW w:w="2728" w:type="dxa"/>
            <w:tcBorders/>
          </w:tcPr>
          <w:p>
            <w:pPr>
              <w:pStyle w:val="Normal"/>
              <w:widowControl w:val="false"/>
              <w:tabs>
                <w:tab w:val="clear" w:pos="708"/>
              </w:tabs>
              <w:spacing w:before="0" w:after="200"/>
              <w:jc w:val="left"/>
              <w:rPr>
                <w:rFonts w:ascii="Arial" w:hAnsi="Arial" w:eastAsia="Times New Roman" w:cs="Arial"/>
                <w:b/>
                <w:b/>
                <w:color w:val="auto"/>
                <w:szCs w:val="22"/>
                <w:lang w:eastAsia="it-IT"/>
              </w:rPr>
            </w:pPr>
            <w:r>
              <w:rPr>
                <w:rFonts w:eastAsia="Times New Roman" w:cs="Arial" w:ascii="Arial" w:hAnsi="Arial"/>
                <w:b/>
                <w:i/>
                <w:color w:val="auto"/>
                <w:szCs w:val="22"/>
                <w:lang w:eastAsia="it-IT"/>
              </w:rPr>
              <w:t>sanzioni ex art.208 co 1</w:t>
            </w:r>
          </w:p>
        </w:tc>
        <w:tc>
          <w:tcPr>
            <w:tcW w:w="1934" w:type="dxa"/>
            <w:tcBorders/>
            <w:vAlign w:val="center"/>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b/>
              </w:rPr>
              <w:t>2022</w:t>
            </w:r>
          </w:p>
        </w:tc>
        <w:tc>
          <w:tcPr>
            <w:tcW w:w="1652" w:type="dxa"/>
            <w:tcBorders/>
            <w:vAlign w:val="center"/>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b/>
              </w:rPr>
              <w:t>2023</w:t>
            </w:r>
          </w:p>
        </w:tc>
        <w:tc>
          <w:tcPr>
            <w:tcW w:w="1957" w:type="dxa"/>
            <w:tcBorders/>
            <w:vAlign w:val="center"/>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b/>
              </w:rPr>
              <w:t>2024</w:t>
            </w:r>
          </w:p>
        </w:tc>
      </w:tr>
      <w:tr>
        <w:trPr>
          <w:trHeight w:val="316" w:hRule="atLeast"/>
        </w:trPr>
        <w:tc>
          <w:tcPr>
            <w:tcW w:w="2728" w:type="dxa"/>
            <w:tcBorders/>
          </w:tcPr>
          <w:p>
            <w:pPr>
              <w:pStyle w:val="Normal"/>
              <w:widowControl w:val="false"/>
              <w:tabs>
                <w:tab w:val="clear" w:pos="708"/>
              </w:tabs>
              <w:spacing w:before="0" w:after="200"/>
              <w:jc w:val="left"/>
              <w:rPr>
                <w:rFonts w:ascii="Arial" w:hAnsi="Arial" w:eastAsia="Times New Roman" w:cs="Arial"/>
                <w:b/>
                <w:b/>
                <w:color w:val="auto"/>
                <w:szCs w:val="22"/>
                <w:lang w:eastAsia="it-IT"/>
              </w:rPr>
            </w:pPr>
            <w:r>
              <w:rPr/>
              <w:t>accertamento</w:t>
            </w:r>
          </w:p>
        </w:tc>
        <w:tc>
          <w:tcPr>
            <w:tcW w:w="1934" w:type="dxa"/>
            <w:tcBorders/>
            <w:vAlign w:val="bottom"/>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t xml:space="preserve"> € </w:t>
            </w:r>
            <w:r>
              <w:rPr/>
              <w:t>2.937.167,99</w:t>
            </w:r>
          </w:p>
        </w:tc>
        <w:tc>
          <w:tcPr>
            <w:tcW w:w="1652" w:type="dxa"/>
            <w:tcBorders/>
            <w:vAlign w:val="bottom"/>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t xml:space="preserve"> € </w:t>
            </w:r>
            <w:r>
              <w:rPr/>
              <w:t>2.582.014,45</w:t>
            </w:r>
          </w:p>
        </w:tc>
        <w:tc>
          <w:tcPr>
            <w:tcW w:w="1957" w:type="dxa"/>
            <w:tcBorders/>
            <w:vAlign w:val="bottom"/>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t xml:space="preserve"> € </w:t>
            </w:r>
            <w:r>
              <w:rPr/>
              <w:t>3.338.368,14</w:t>
            </w:r>
          </w:p>
        </w:tc>
      </w:tr>
      <w:tr>
        <w:trPr>
          <w:trHeight w:val="316" w:hRule="atLeast"/>
        </w:trPr>
        <w:tc>
          <w:tcPr>
            <w:tcW w:w="2728" w:type="dxa"/>
            <w:tcBorders/>
          </w:tcPr>
          <w:p>
            <w:pPr>
              <w:pStyle w:val="Normal"/>
              <w:widowControl w:val="false"/>
              <w:tabs>
                <w:tab w:val="clear" w:pos="708"/>
              </w:tabs>
              <w:spacing w:before="0" w:after="200"/>
              <w:jc w:val="left"/>
              <w:rPr>
                <w:rFonts w:ascii="Arial" w:hAnsi="Arial" w:eastAsia="Times New Roman" w:cs="Arial"/>
                <w:b/>
                <w:b/>
                <w:color w:val="auto"/>
                <w:szCs w:val="22"/>
                <w:lang w:eastAsia="it-IT"/>
              </w:rPr>
            </w:pPr>
            <w:r>
              <w:rPr/>
              <w:t>riscossione</w:t>
            </w:r>
          </w:p>
        </w:tc>
        <w:tc>
          <w:tcPr>
            <w:tcW w:w="1934" w:type="dxa"/>
            <w:tcBorders/>
            <w:vAlign w:val="bottom"/>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t xml:space="preserve"> € </w:t>
            </w:r>
            <w:r>
              <w:rPr/>
              <w:t>673.761,72</w:t>
            </w:r>
          </w:p>
        </w:tc>
        <w:tc>
          <w:tcPr>
            <w:tcW w:w="1652" w:type="dxa"/>
            <w:tcBorders/>
            <w:vAlign w:val="bottom"/>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t xml:space="preserve"> € </w:t>
            </w:r>
            <w:r>
              <w:rPr/>
              <w:t>641.440,16</w:t>
            </w:r>
          </w:p>
        </w:tc>
        <w:tc>
          <w:tcPr>
            <w:tcW w:w="1957" w:type="dxa"/>
            <w:tcBorders/>
            <w:vAlign w:val="center"/>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t xml:space="preserve"> € </w:t>
            </w:r>
            <w:r>
              <w:rPr/>
              <w:t>1.009.638,39</w:t>
            </w:r>
          </w:p>
        </w:tc>
      </w:tr>
      <w:tr>
        <w:trPr>
          <w:trHeight w:val="316" w:hRule="atLeast"/>
        </w:trPr>
        <w:tc>
          <w:tcPr>
            <w:tcW w:w="2728" w:type="dxa"/>
            <w:tcBorders/>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t>%riscossione</w:t>
            </w:r>
          </w:p>
        </w:tc>
        <w:tc>
          <w:tcPr>
            <w:tcW w:w="1934" w:type="dxa"/>
            <w:tcBorders/>
            <w:vAlign w:val="center"/>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t xml:space="preserve"> </w:t>
            </w:r>
            <w:r>
              <w:rPr/>
              <w:t>22,94</w:t>
            </w:r>
          </w:p>
        </w:tc>
        <w:tc>
          <w:tcPr>
            <w:tcW w:w="1652" w:type="dxa"/>
            <w:tcBorders/>
            <w:vAlign w:val="center"/>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t xml:space="preserve"> </w:t>
            </w:r>
            <w:r>
              <w:rPr/>
              <w:t>24,84</w:t>
            </w:r>
          </w:p>
        </w:tc>
        <w:tc>
          <w:tcPr>
            <w:tcW w:w="1957" w:type="dxa"/>
            <w:tcBorders/>
            <w:vAlign w:val="center"/>
          </w:tcPr>
          <w:p>
            <w:pPr>
              <w:pStyle w:val="Normal"/>
              <w:widowControl w:val="false"/>
              <w:tabs>
                <w:tab w:val="clear" w:pos="708"/>
              </w:tabs>
              <w:spacing w:before="0" w:after="200"/>
              <w:jc w:val="center"/>
              <w:rPr>
                <w:rFonts w:ascii="Arial" w:hAnsi="Arial" w:eastAsia="Times New Roman" w:cs="Arial"/>
                <w:b/>
                <w:b/>
                <w:color w:val="auto"/>
                <w:szCs w:val="22"/>
                <w:lang w:eastAsia="it-IT"/>
              </w:rPr>
            </w:pPr>
            <w:r>
              <w:rPr/>
              <w:t xml:space="preserve"> </w:t>
            </w:r>
            <w:r>
              <w:rPr/>
              <w:t>30,24</w:t>
            </w:r>
          </w:p>
        </w:tc>
      </w:tr>
    </w:tbl>
    <w:p>
      <w:pPr>
        <w:pStyle w:val="Normal"/>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overflowPunct w:val="true"/>
        <w:spacing w:lineRule="auto" w:line="240" w:before="0" w:after="120"/>
        <w:jc w:val="both"/>
        <w:textAlignment w:val="baseline"/>
        <w:rPr/>
      </w:pPr>
      <w:r>
        <w:rPr>
          <w:rFonts w:eastAsia="Times New Roman" w:cs="Arial" w:ascii="Arial" w:hAnsi="Arial"/>
          <w:color w:val="auto" w:themeColor="text1" w:themeTint="bf"/>
          <w:sz w:val="22"/>
          <w:szCs w:val="22"/>
          <w:lang w:eastAsia="it-IT"/>
        </w:rPr>
        <w:t>Le sanzioni di cui sopra attengono unicamente all’art. 208 del Codice della Strada; non sono stati rilevati proventi delle sanzioni derivanti da violazioni al limite massimo di velocità ex art. 142 C.d.S.</w:t>
      </w:r>
      <w:hyperlink r:id="rId15">
        <w:r>
          <w:rPr>
            <w:rFonts w:eastAsia="Times New Roman" w:cs="Times New Roman" w:ascii="Arial" w:hAnsi="Arial"/>
            <w:color w:val="auto" w:themeColor="text1" w:themeTint="bf"/>
            <w:sz w:val="22"/>
            <w:szCs w:val="22"/>
            <w:lang w:eastAsia="it-IT"/>
          </w:rPr>
          <w:t xml:space="preserve"> </w:t>
        </w:r>
      </w:hyperlink>
    </w:p>
    <w:p>
      <w:pPr>
        <w:pStyle w:val="Normal"/>
        <w:widowControl w:val="false"/>
        <w:overflowPunct w:val="true"/>
        <w:spacing w:lineRule="auto" w:line="240" w:before="120" w:after="240"/>
        <w:jc w:val="center"/>
        <w:textAlignment w:val="baseline"/>
        <w:rPr>
          <w:rFonts w:ascii="Arial" w:hAnsi="Arial" w:eastAsia="Times New Roman" w:cs="Arial"/>
          <w:color w:val="auto"/>
          <w:sz w:val="20"/>
          <w:szCs w:val="20"/>
          <w:lang w:eastAsia="it-IT"/>
        </w:rPr>
      </w:pPr>
      <w:r>
        <w:rPr>
          <w:rFonts w:eastAsia="Times New Roman" w:cs="Arial" w:ascii="Arial" w:hAnsi="Arial"/>
          <w:color w:val="auto"/>
          <w:sz w:val="20"/>
          <w:szCs w:val="20"/>
          <w:lang w:eastAsia="it-IT"/>
        </w:rPr>
      </w:r>
    </w:p>
    <w:p>
      <w:pPr>
        <w:pStyle w:val="Normal"/>
        <w:widowControl w:val="false"/>
        <w:overflowPunct w:val="true"/>
        <w:spacing w:lineRule="auto" w:line="240" w:before="120" w:after="240"/>
        <w:textAlignment w:val="baseline"/>
        <w:rPr>
          <w:rFonts w:ascii="Arial" w:hAnsi="Arial" w:eastAsia="Times New Roman" w:cs="Arial"/>
          <w:color w:val="auto"/>
          <w:szCs w:val="22"/>
          <w:lang w:eastAsia="it-IT"/>
        </w:rPr>
      </w:pPr>
      <w:bookmarkStart w:id="77" w:name="_MON_1550308093"/>
      <w:bookmarkEnd w:id="77"/>
      <w:r>
        <w:rPr>
          <w:rFonts w:eastAsia="Times New Roman" w:cs="Arial" w:ascii="Arial" w:hAnsi="Arial"/>
          <w:color w:val="auto"/>
          <w:szCs w:val="22"/>
          <w:lang w:eastAsia="it-IT"/>
        </w:rPr>
        <w:t>La quota vincolata risulta destinata come segue:</w:t>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tbl>
      <w:tblPr>
        <w:tblW w:w="9266" w:type="dxa"/>
        <w:jc w:val="left"/>
        <w:tblInd w:w="-2" w:type="dxa"/>
        <w:tblLayout w:type="fixed"/>
        <w:tblCellMar>
          <w:top w:w="0" w:type="dxa"/>
          <w:left w:w="28" w:type="dxa"/>
          <w:bottom w:w="0" w:type="dxa"/>
          <w:right w:w="28" w:type="dxa"/>
        </w:tblCellMar>
      </w:tblPr>
      <w:tblGrid>
        <w:gridCol w:w="3406"/>
        <w:gridCol w:w="1939"/>
        <w:gridCol w:w="1991"/>
        <w:gridCol w:w="1929"/>
      </w:tblGrid>
      <w:tr>
        <w:trPr>
          <w:trHeight w:val="566" w:hRule="atLeast"/>
        </w:trPr>
        <w:tc>
          <w:tcPr>
            <w:tcW w:w="3406" w:type="dxa"/>
            <w:tcBorders>
              <w:top w:val="single" w:sz="2" w:space="0" w:color="000000"/>
              <w:left w:val="single" w:sz="2" w:space="0" w:color="000000"/>
              <w:bottom w:val="single" w:sz="2" w:space="0" w:color="000000"/>
            </w:tcBorders>
          </w:tcPr>
          <w:p>
            <w:pPr>
              <w:pStyle w:val="Normal"/>
              <w:widowControl w:val="false"/>
              <w:tabs>
                <w:tab w:val="clear" w:pos="708"/>
              </w:tabs>
              <w:spacing w:before="0" w:after="200"/>
              <w:jc w:val="right"/>
              <w:rPr>
                <w:rFonts w:ascii="Arial" w:hAnsi="Arial"/>
                <w:color w:val="auto"/>
              </w:rPr>
            </w:pPr>
            <w:r>
              <w:rPr>
                <w:rFonts w:ascii="Arial" w:hAnsi="Arial"/>
                <w:color w:val="auto"/>
              </w:rPr>
            </w:r>
          </w:p>
        </w:tc>
        <w:tc>
          <w:tcPr>
            <w:tcW w:w="1939" w:type="dxa"/>
            <w:tcBorders>
              <w:top w:val="single" w:sz="2" w:space="0" w:color="000000"/>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b/>
                <w:color w:val="auto"/>
              </w:rPr>
              <w:t>Accertamento 2022</w:t>
            </w:r>
          </w:p>
        </w:tc>
        <w:tc>
          <w:tcPr>
            <w:tcW w:w="1991" w:type="dxa"/>
            <w:tcBorders>
              <w:top w:val="single" w:sz="2" w:space="0" w:color="000000"/>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b/>
                <w:color w:val="auto"/>
              </w:rPr>
              <w:t>Accertamento 2023</w:t>
            </w:r>
          </w:p>
        </w:tc>
        <w:tc>
          <w:tcPr>
            <w:tcW w:w="1929" w:type="dxa"/>
            <w:tcBorders>
              <w:top w:val="single" w:sz="2" w:space="0" w:color="000000"/>
              <w:left w:val="single" w:sz="2" w:space="0" w:color="000000"/>
              <w:bottom w:val="single" w:sz="2" w:space="0" w:color="000000"/>
              <w:right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b/>
                <w:color w:val="auto"/>
              </w:rPr>
              <w:t>Accertamento 2024</w:t>
            </w:r>
          </w:p>
        </w:tc>
      </w:tr>
      <w:tr>
        <w:trPr>
          <w:trHeight w:val="316" w:hRule="atLeast"/>
        </w:trPr>
        <w:tc>
          <w:tcPr>
            <w:tcW w:w="3406" w:type="dxa"/>
            <w:tcBorders>
              <w:left w:val="single" w:sz="2" w:space="0" w:color="000000"/>
              <w:bottom w:val="single" w:sz="2" w:space="0" w:color="000000"/>
            </w:tcBorders>
          </w:tcPr>
          <w:p>
            <w:pPr>
              <w:pStyle w:val="Normal"/>
              <w:widowControl w:val="false"/>
              <w:tabs>
                <w:tab w:val="clear" w:pos="708"/>
              </w:tabs>
              <w:spacing w:before="0" w:after="200"/>
              <w:jc w:val="both"/>
              <w:rPr>
                <w:rFonts w:ascii="Arial" w:hAnsi="Arial"/>
                <w:color w:val="auto"/>
              </w:rPr>
            </w:pPr>
            <w:r>
              <w:rPr>
                <w:rFonts w:ascii="Arial" w:hAnsi="Arial"/>
                <w:color w:val="auto"/>
              </w:rPr>
              <w:t>Sanzioni CdS</w:t>
            </w:r>
          </w:p>
        </w:tc>
        <w:tc>
          <w:tcPr>
            <w:tcW w:w="1939" w:type="dxa"/>
            <w:tcBorders>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 xml:space="preserve"> € </w:t>
            </w:r>
            <w:r>
              <w:rPr>
                <w:rFonts w:ascii="Arial" w:hAnsi="Arial"/>
                <w:color w:val="auto"/>
              </w:rPr>
              <w:t>2.937.167,99</w:t>
            </w:r>
          </w:p>
        </w:tc>
        <w:tc>
          <w:tcPr>
            <w:tcW w:w="1991" w:type="dxa"/>
            <w:tcBorders>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 xml:space="preserve"> € </w:t>
            </w:r>
            <w:r>
              <w:rPr>
                <w:rFonts w:ascii="Arial" w:hAnsi="Arial"/>
                <w:color w:val="auto"/>
              </w:rPr>
              <w:t>2.582.014,45</w:t>
            </w:r>
          </w:p>
        </w:tc>
        <w:tc>
          <w:tcPr>
            <w:tcW w:w="1929" w:type="dxa"/>
            <w:tcBorders>
              <w:left w:val="single" w:sz="2" w:space="0" w:color="000000"/>
              <w:bottom w:val="single" w:sz="2" w:space="0" w:color="000000"/>
              <w:right w:val="single" w:sz="2" w:space="0" w:color="000000"/>
            </w:tcBorders>
            <w:vAlign w:val="bottom"/>
          </w:tcPr>
          <w:p>
            <w:pPr>
              <w:pStyle w:val="Normal"/>
              <w:widowControl w:val="false"/>
              <w:tabs>
                <w:tab w:val="clear" w:pos="708"/>
              </w:tabs>
              <w:spacing w:before="0" w:after="200"/>
              <w:jc w:val="center"/>
              <w:rPr>
                <w:rFonts w:ascii="Arial" w:hAnsi="Arial"/>
                <w:color w:val="auto"/>
              </w:rPr>
            </w:pPr>
            <w:r>
              <w:rPr>
                <w:rFonts w:ascii="Arial" w:hAnsi="Arial"/>
                <w:color w:val="auto"/>
              </w:rPr>
              <w:t xml:space="preserve"> € </w:t>
            </w:r>
            <w:r>
              <w:rPr>
                <w:rFonts w:ascii="Arial" w:hAnsi="Arial"/>
                <w:color w:val="auto"/>
              </w:rPr>
              <w:t>3.338.368,14</w:t>
            </w:r>
          </w:p>
        </w:tc>
      </w:tr>
      <w:tr>
        <w:trPr>
          <w:trHeight w:val="579" w:hRule="atLeast"/>
        </w:trPr>
        <w:tc>
          <w:tcPr>
            <w:tcW w:w="3406" w:type="dxa"/>
            <w:tcBorders>
              <w:left w:val="single" w:sz="2" w:space="0" w:color="000000"/>
              <w:bottom w:val="single" w:sz="2" w:space="0" w:color="000000"/>
            </w:tcBorders>
          </w:tcPr>
          <w:p>
            <w:pPr>
              <w:pStyle w:val="Normal"/>
              <w:widowControl w:val="false"/>
              <w:tabs>
                <w:tab w:val="clear" w:pos="708"/>
              </w:tabs>
              <w:spacing w:before="0" w:after="200"/>
              <w:jc w:val="both"/>
              <w:rPr>
                <w:rFonts w:ascii="Arial" w:hAnsi="Arial"/>
                <w:color w:val="auto"/>
              </w:rPr>
            </w:pPr>
            <w:r>
              <w:rPr>
                <w:rFonts w:ascii="Arial" w:hAnsi="Arial"/>
                <w:color w:val="auto"/>
              </w:rPr>
              <w:t>fondo svalutazione crediti corrispondente</w:t>
            </w:r>
          </w:p>
        </w:tc>
        <w:tc>
          <w:tcPr>
            <w:tcW w:w="1939" w:type="dxa"/>
            <w:tcBorders>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 xml:space="preserve"> € </w:t>
            </w:r>
            <w:r>
              <w:rPr>
                <w:rFonts w:ascii="Arial" w:hAnsi="Arial"/>
                <w:color w:val="auto"/>
              </w:rPr>
              <w:t>2.414.352,09</w:t>
            </w:r>
          </w:p>
        </w:tc>
        <w:tc>
          <w:tcPr>
            <w:tcW w:w="1991" w:type="dxa"/>
            <w:tcBorders>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 xml:space="preserve"> € </w:t>
            </w:r>
            <w:r>
              <w:rPr>
                <w:rFonts w:ascii="Arial" w:hAnsi="Arial"/>
                <w:color w:val="auto"/>
              </w:rPr>
              <w:t>2.167.342,93</w:t>
            </w:r>
          </w:p>
        </w:tc>
        <w:tc>
          <w:tcPr>
            <w:tcW w:w="1929" w:type="dxa"/>
            <w:tcBorders>
              <w:left w:val="single" w:sz="2" w:space="0" w:color="000000"/>
              <w:bottom w:val="single" w:sz="2" w:space="0" w:color="000000"/>
              <w:right w:val="single" w:sz="2" w:space="0" w:color="000000"/>
            </w:tcBorders>
          </w:tcPr>
          <w:p>
            <w:pPr>
              <w:pStyle w:val="Normal"/>
              <w:widowControl w:val="false"/>
              <w:bidi w:val="0"/>
              <w:jc w:val="center"/>
              <w:rPr>
                <w:rFonts w:ascii="Arial" w:hAnsi="Arial"/>
                <w:b w:val="false"/>
                <w:b w:val="false"/>
                <w:bCs w:val="false"/>
                <w:color w:val="auto"/>
                <w:sz w:val="22"/>
                <w:szCs w:val="22"/>
              </w:rPr>
            </w:pPr>
            <w:r>
              <w:rPr>
                <w:rFonts w:ascii="Arial" w:hAnsi="Arial"/>
                <w:b w:val="false"/>
                <w:bCs w:val="false"/>
                <w:i w:val="false"/>
                <w:strike w:val="false"/>
                <w:dstrike w:val="false"/>
                <w:outline w:val="false"/>
                <w:shadow w:val="false"/>
                <w:color w:val="auto"/>
                <w:sz w:val="22"/>
                <w:szCs w:val="22"/>
                <w:u w:val="none"/>
                <w:em w:val="none"/>
              </w:rPr>
              <w:t xml:space="preserve">€ </w:t>
            </w:r>
            <w:r>
              <w:rPr>
                <w:rFonts w:ascii="Arial" w:hAnsi="Arial"/>
                <w:b w:val="false"/>
                <w:bCs w:val="false"/>
                <w:i w:val="false"/>
                <w:strike w:val="false"/>
                <w:dstrike w:val="false"/>
                <w:outline w:val="false"/>
                <w:shadow w:val="false"/>
                <w:color w:val="auto"/>
                <w:sz w:val="22"/>
                <w:szCs w:val="22"/>
                <w:u w:val="none"/>
                <w:em w:val="none"/>
              </w:rPr>
              <w:t>2.958.461,85</w:t>
            </w:r>
          </w:p>
          <w:p>
            <w:pPr>
              <w:pStyle w:val="Normal"/>
              <w:widowControl w:val="false"/>
              <w:tabs>
                <w:tab w:val="clear" w:pos="708"/>
              </w:tabs>
              <w:spacing w:before="0" w:after="200"/>
              <w:jc w:val="center"/>
              <w:rPr>
                <w:rFonts w:ascii="Arial" w:hAnsi="Arial"/>
                <w:color w:val="auto"/>
              </w:rPr>
            </w:pPr>
            <w:r>
              <w:rPr>
                <w:rFonts w:ascii="Arial" w:hAnsi="Arial"/>
                <w:color w:val="auto"/>
              </w:rPr>
            </w:r>
          </w:p>
        </w:tc>
      </w:tr>
      <w:tr>
        <w:trPr>
          <w:trHeight w:val="316" w:hRule="atLeast"/>
        </w:trPr>
        <w:tc>
          <w:tcPr>
            <w:tcW w:w="3406" w:type="dxa"/>
            <w:tcBorders>
              <w:left w:val="single" w:sz="2" w:space="0" w:color="000000"/>
              <w:bottom w:val="single" w:sz="2" w:space="0" w:color="000000"/>
            </w:tcBorders>
          </w:tcPr>
          <w:p>
            <w:pPr>
              <w:pStyle w:val="Normal"/>
              <w:widowControl w:val="false"/>
              <w:tabs>
                <w:tab w:val="clear" w:pos="708"/>
              </w:tabs>
              <w:spacing w:before="0" w:after="200"/>
              <w:jc w:val="both"/>
              <w:rPr>
                <w:rFonts w:ascii="Arial" w:hAnsi="Arial"/>
                <w:color w:val="auto"/>
              </w:rPr>
            </w:pPr>
            <w:r>
              <w:rPr>
                <w:rFonts w:ascii="Arial" w:hAnsi="Arial"/>
                <w:color w:val="auto"/>
              </w:rPr>
              <w:t>Restituzioni incassi non dovuti e spese aggi</w:t>
            </w:r>
          </w:p>
        </w:tc>
        <w:tc>
          <w:tcPr>
            <w:tcW w:w="1939" w:type="dxa"/>
            <w:tcBorders>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30.710,81</w:t>
            </w:r>
          </w:p>
        </w:tc>
        <w:tc>
          <w:tcPr>
            <w:tcW w:w="1991" w:type="dxa"/>
            <w:tcBorders>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84.037,14</w:t>
            </w:r>
          </w:p>
        </w:tc>
        <w:tc>
          <w:tcPr>
            <w:tcW w:w="1929" w:type="dxa"/>
            <w:tcBorders>
              <w:left w:val="single" w:sz="2" w:space="0" w:color="000000"/>
              <w:bottom w:val="single" w:sz="2" w:space="0" w:color="000000"/>
              <w:right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102.472,04</w:t>
            </w:r>
          </w:p>
        </w:tc>
      </w:tr>
      <w:tr>
        <w:trPr>
          <w:trHeight w:val="316" w:hRule="atLeast"/>
        </w:trPr>
        <w:tc>
          <w:tcPr>
            <w:tcW w:w="3406" w:type="dxa"/>
            <w:tcBorders>
              <w:left w:val="single" w:sz="2" w:space="0" w:color="000000"/>
              <w:bottom w:val="single" w:sz="2" w:space="0" w:color="000000"/>
            </w:tcBorders>
          </w:tcPr>
          <w:p>
            <w:pPr>
              <w:pStyle w:val="Normal"/>
              <w:widowControl w:val="false"/>
              <w:tabs>
                <w:tab w:val="clear" w:pos="708"/>
              </w:tabs>
              <w:spacing w:before="0" w:after="200"/>
              <w:jc w:val="both"/>
              <w:rPr>
                <w:rFonts w:ascii="Arial" w:hAnsi="Arial"/>
                <w:color w:val="auto"/>
              </w:rPr>
            </w:pPr>
            <w:r>
              <w:rPr>
                <w:rFonts w:ascii="Arial" w:hAnsi="Arial"/>
                <w:color w:val="auto"/>
              </w:rPr>
              <w:t>entrata netta</w:t>
            </w:r>
          </w:p>
        </w:tc>
        <w:tc>
          <w:tcPr>
            <w:tcW w:w="1939" w:type="dxa"/>
            <w:tcBorders>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 xml:space="preserve"> € </w:t>
            </w:r>
            <w:r>
              <w:rPr>
                <w:rFonts w:ascii="Arial" w:hAnsi="Arial"/>
                <w:color w:val="auto"/>
              </w:rPr>
              <w:t>492.105,09</w:t>
            </w:r>
          </w:p>
        </w:tc>
        <w:tc>
          <w:tcPr>
            <w:tcW w:w="1991" w:type="dxa"/>
            <w:tcBorders>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 xml:space="preserve"> € </w:t>
            </w:r>
            <w:r>
              <w:rPr>
                <w:rFonts w:ascii="Arial" w:hAnsi="Arial"/>
                <w:color w:val="auto"/>
              </w:rPr>
              <w:t>330.634,38</w:t>
            </w:r>
          </w:p>
        </w:tc>
        <w:tc>
          <w:tcPr>
            <w:tcW w:w="1929" w:type="dxa"/>
            <w:tcBorders>
              <w:left w:val="single" w:sz="2" w:space="0" w:color="000000"/>
              <w:bottom w:val="single" w:sz="2" w:space="0" w:color="000000"/>
              <w:right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277.434,25</w:t>
            </w:r>
          </w:p>
        </w:tc>
      </w:tr>
      <w:tr>
        <w:trPr>
          <w:trHeight w:val="579" w:hRule="atLeast"/>
        </w:trPr>
        <w:tc>
          <w:tcPr>
            <w:tcW w:w="3406" w:type="dxa"/>
            <w:tcBorders>
              <w:left w:val="single" w:sz="2" w:space="0" w:color="000000"/>
              <w:bottom w:val="single" w:sz="2" w:space="0" w:color="000000"/>
            </w:tcBorders>
          </w:tcPr>
          <w:p>
            <w:pPr>
              <w:pStyle w:val="Normal"/>
              <w:widowControl w:val="false"/>
              <w:tabs>
                <w:tab w:val="clear" w:pos="708"/>
              </w:tabs>
              <w:spacing w:before="0" w:after="200"/>
              <w:jc w:val="both"/>
              <w:rPr>
                <w:rFonts w:ascii="Arial" w:hAnsi="Arial"/>
                <w:color w:val="auto"/>
              </w:rPr>
            </w:pPr>
            <w:r>
              <w:rPr>
                <w:rFonts w:ascii="Arial" w:hAnsi="Arial"/>
                <w:color w:val="auto"/>
              </w:rPr>
              <w:t>destinazione a spesa corrente vincolata</w:t>
            </w:r>
          </w:p>
        </w:tc>
        <w:tc>
          <w:tcPr>
            <w:tcW w:w="1939" w:type="dxa"/>
            <w:tcBorders>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 xml:space="preserve"> € </w:t>
            </w:r>
            <w:r>
              <w:rPr>
                <w:rFonts w:ascii="Arial" w:hAnsi="Arial"/>
                <w:color w:val="auto"/>
              </w:rPr>
              <w:t>179.310,55</w:t>
            </w:r>
          </w:p>
        </w:tc>
        <w:tc>
          <w:tcPr>
            <w:tcW w:w="1991" w:type="dxa"/>
            <w:tcBorders>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 xml:space="preserve"> € </w:t>
            </w:r>
            <w:r>
              <w:rPr>
                <w:rFonts w:ascii="Arial" w:hAnsi="Arial"/>
                <w:color w:val="auto"/>
              </w:rPr>
              <w:t>35.645,24</w:t>
            </w:r>
          </w:p>
        </w:tc>
        <w:tc>
          <w:tcPr>
            <w:tcW w:w="1929" w:type="dxa"/>
            <w:tcBorders>
              <w:left w:val="single" w:sz="2" w:space="0" w:color="000000"/>
              <w:bottom w:val="single" w:sz="2" w:space="0" w:color="000000"/>
              <w:right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92.179,81</w:t>
            </w:r>
          </w:p>
        </w:tc>
      </w:tr>
      <w:tr>
        <w:trPr>
          <w:trHeight w:val="316" w:hRule="atLeast"/>
        </w:trPr>
        <w:tc>
          <w:tcPr>
            <w:tcW w:w="3406" w:type="dxa"/>
            <w:tcBorders>
              <w:left w:val="single" w:sz="2" w:space="0" w:color="000000"/>
              <w:bottom w:val="single" w:sz="2" w:space="0" w:color="000000"/>
            </w:tcBorders>
          </w:tcPr>
          <w:p>
            <w:pPr>
              <w:pStyle w:val="Normal"/>
              <w:widowControl w:val="false"/>
              <w:tabs>
                <w:tab w:val="clear" w:pos="708"/>
              </w:tabs>
              <w:spacing w:before="0" w:after="200"/>
              <w:jc w:val="both"/>
              <w:rPr>
                <w:rFonts w:ascii="Arial" w:hAnsi="Arial"/>
                <w:color w:val="auto"/>
              </w:rPr>
            </w:pPr>
            <w:r>
              <w:rPr>
                <w:rFonts w:ascii="Arial" w:hAnsi="Arial"/>
                <w:color w:val="auto"/>
              </w:rPr>
              <w:t>% per spesa corrente</w:t>
            </w:r>
          </w:p>
        </w:tc>
        <w:tc>
          <w:tcPr>
            <w:tcW w:w="1939" w:type="dxa"/>
            <w:tcBorders>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36,44%</w:t>
            </w:r>
          </w:p>
        </w:tc>
        <w:tc>
          <w:tcPr>
            <w:tcW w:w="1991" w:type="dxa"/>
            <w:tcBorders>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10,78%</w:t>
            </w:r>
          </w:p>
        </w:tc>
        <w:tc>
          <w:tcPr>
            <w:tcW w:w="1929" w:type="dxa"/>
            <w:tcBorders>
              <w:left w:val="single" w:sz="2" w:space="0" w:color="000000"/>
              <w:bottom w:val="single" w:sz="2" w:space="0" w:color="000000"/>
              <w:right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33,23%</w:t>
            </w:r>
          </w:p>
        </w:tc>
      </w:tr>
      <w:tr>
        <w:trPr>
          <w:trHeight w:val="579" w:hRule="atLeast"/>
        </w:trPr>
        <w:tc>
          <w:tcPr>
            <w:tcW w:w="3406" w:type="dxa"/>
            <w:tcBorders>
              <w:left w:val="single" w:sz="2" w:space="0" w:color="000000"/>
              <w:bottom w:val="single" w:sz="2" w:space="0" w:color="000000"/>
            </w:tcBorders>
          </w:tcPr>
          <w:p>
            <w:pPr>
              <w:pStyle w:val="Normal"/>
              <w:widowControl w:val="false"/>
              <w:tabs>
                <w:tab w:val="clear" w:pos="708"/>
              </w:tabs>
              <w:spacing w:before="0" w:after="200"/>
              <w:jc w:val="both"/>
              <w:rPr>
                <w:rFonts w:ascii="Arial" w:hAnsi="Arial"/>
                <w:color w:val="auto"/>
              </w:rPr>
            </w:pPr>
            <w:r>
              <w:rPr>
                <w:rFonts w:ascii="Arial" w:hAnsi="Arial"/>
                <w:color w:val="auto"/>
              </w:rPr>
              <w:t>destinazione a spesa per investimenti vincolata</w:t>
            </w:r>
          </w:p>
        </w:tc>
        <w:tc>
          <w:tcPr>
            <w:tcW w:w="1939" w:type="dxa"/>
            <w:tcBorders>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 xml:space="preserve"> € </w:t>
            </w:r>
            <w:r>
              <w:rPr>
                <w:rFonts w:ascii="Arial" w:hAnsi="Arial"/>
                <w:color w:val="auto"/>
              </w:rPr>
              <w:t>66.742,00</w:t>
            </w:r>
          </w:p>
        </w:tc>
        <w:tc>
          <w:tcPr>
            <w:tcW w:w="1991" w:type="dxa"/>
            <w:tcBorders>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 xml:space="preserve"> € </w:t>
            </w:r>
            <w:r>
              <w:rPr>
                <w:rFonts w:ascii="Arial" w:hAnsi="Arial"/>
                <w:color w:val="auto"/>
              </w:rPr>
              <w:t>129.671,95</w:t>
            </w:r>
          </w:p>
        </w:tc>
        <w:tc>
          <w:tcPr>
            <w:tcW w:w="1929" w:type="dxa"/>
            <w:tcBorders>
              <w:left w:val="single" w:sz="2" w:space="0" w:color="000000"/>
              <w:bottom w:val="single" w:sz="2" w:space="0" w:color="000000"/>
              <w:right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46.537,31</w:t>
            </w:r>
          </w:p>
        </w:tc>
      </w:tr>
      <w:tr>
        <w:trPr>
          <w:trHeight w:val="316" w:hRule="atLeast"/>
        </w:trPr>
        <w:tc>
          <w:tcPr>
            <w:tcW w:w="3406" w:type="dxa"/>
            <w:tcBorders>
              <w:left w:val="single" w:sz="2" w:space="0" w:color="000000"/>
              <w:bottom w:val="single" w:sz="2" w:space="0" w:color="000000"/>
            </w:tcBorders>
          </w:tcPr>
          <w:p>
            <w:pPr>
              <w:pStyle w:val="Normal"/>
              <w:widowControl w:val="false"/>
              <w:tabs>
                <w:tab w:val="clear" w:pos="708"/>
              </w:tabs>
              <w:spacing w:before="0" w:after="200"/>
              <w:jc w:val="both"/>
              <w:rPr>
                <w:rFonts w:ascii="Arial" w:hAnsi="Arial"/>
                <w:color w:val="auto"/>
              </w:rPr>
            </w:pPr>
            <w:r>
              <w:rPr>
                <w:rFonts w:ascii="Arial" w:hAnsi="Arial"/>
                <w:color w:val="auto"/>
              </w:rPr>
              <w:t>% per Investimenti</w:t>
            </w:r>
          </w:p>
        </w:tc>
        <w:tc>
          <w:tcPr>
            <w:tcW w:w="1939" w:type="dxa"/>
            <w:tcBorders>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13,56%</w:t>
            </w:r>
          </w:p>
        </w:tc>
        <w:tc>
          <w:tcPr>
            <w:tcW w:w="1991" w:type="dxa"/>
            <w:tcBorders>
              <w:left w:val="single" w:sz="2" w:space="0" w:color="000000"/>
              <w:bottom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39,22%</w:t>
            </w:r>
          </w:p>
        </w:tc>
        <w:tc>
          <w:tcPr>
            <w:tcW w:w="1929" w:type="dxa"/>
            <w:tcBorders>
              <w:left w:val="single" w:sz="2" w:space="0" w:color="000000"/>
              <w:bottom w:val="single" w:sz="2" w:space="0" w:color="000000"/>
              <w:right w:val="single" w:sz="2" w:space="0" w:color="000000"/>
            </w:tcBorders>
          </w:tcPr>
          <w:p>
            <w:pPr>
              <w:pStyle w:val="Normal"/>
              <w:widowControl w:val="false"/>
              <w:tabs>
                <w:tab w:val="clear" w:pos="708"/>
              </w:tabs>
              <w:spacing w:before="0" w:after="200"/>
              <w:jc w:val="center"/>
              <w:rPr>
                <w:rFonts w:ascii="Arial" w:hAnsi="Arial"/>
                <w:color w:val="auto"/>
              </w:rPr>
            </w:pPr>
            <w:r>
              <w:rPr>
                <w:rFonts w:ascii="Arial" w:hAnsi="Arial"/>
                <w:color w:val="auto"/>
              </w:rPr>
              <w:t>16,77%</w:t>
            </w:r>
          </w:p>
        </w:tc>
      </w:tr>
    </w:tbl>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suppressAutoHyphens w:val="false"/>
        <w:overflowPunct w:val="false"/>
        <w:spacing w:lineRule="auto" w:line="240" w:before="0" w:after="120"/>
        <w:ind w:left="0" w:right="0" w:hanging="0"/>
        <w:jc w:val="both"/>
        <w:textAlignment w:val="baseline"/>
        <w:rPr>
          <w:color w:val="auto"/>
          <w:sz w:val="22"/>
          <w:szCs w:val="22"/>
        </w:rPr>
      </w:pPr>
      <w:bookmarkStart w:id="78" w:name="Copia__MON_1486996463_1"/>
      <w:bookmarkEnd w:id="78"/>
      <w:r>
        <w:rPr>
          <w:rFonts w:cs="Arial" w:ascii="Arial" w:hAnsi="Arial"/>
          <w:color w:val="auto" w:themeColor="text1" w:themeTint="bf"/>
          <w:position w:val="0"/>
          <w:sz w:val="22"/>
          <w:sz w:val="22"/>
          <w:szCs w:val="22"/>
          <w:vertAlign w:val="baseline"/>
        </w:rPr>
        <w:t>La movimentazione delle somme rimaste a residuo è stata la seguente:</w:t>
      </w:r>
    </w:p>
    <w:p>
      <w:pPr>
        <w:pStyle w:val="Normal"/>
        <w:widowControl w:val="false"/>
        <w:suppressAutoHyphens w:val="false"/>
        <w:overflowPunct w:val="false"/>
        <w:spacing w:lineRule="auto" w:line="240" w:before="0" w:after="120"/>
        <w:ind w:left="0" w:right="0" w:hanging="0"/>
        <w:jc w:val="both"/>
        <w:textAlignment w:val="baseline"/>
        <w:rPr>
          <w:color w:val="auto"/>
          <w:sz w:val="22"/>
          <w:szCs w:val="22"/>
        </w:rPr>
      </w:pPr>
      <w:r>
        <w:rPr>
          <w:rFonts w:cs="Arial" w:ascii="Arial" w:hAnsi="Arial"/>
          <w:color w:val="auto" w:themeColor="text1" w:themeTint="bf"/>
          <w:position w:val="0"/>
          <w:sz w:val="22"/>
          <w:sz w:val="22"/>
          <w:szCs w:val="22"/>
          <w:vertAlign w:val="baseline"/>
        </w:rPr>
        <w:t>Residui attivi al 1/1/2024:</w:t>
        <w:tab/>
        <w:tab/>
        <w:t xml:space="preserve">      € 9.536.300,67</w:t>
      </w:r>
    </w:p>
    <w:p>
      <w:pPr>
        <w:pStyle w:val="Normal"/>
        <w:widowControl w:val="false"/>
        <w:suppressAutoHyphens w:val="false"/>
        <w:overflowPunct w:val="false"/>
        <w:spacing w:lineRule="auto" w:line="240" w:before="0" w:after="120"/>
        <w:ind w:left="0" w:right="0" w:hanging="0"/>
        <w:jc w:val="both"/>
        <w:textAlignment w:val="baseline"/>
        <w:rPr>
          <w:color w:val="auto"/>
          <w:sz w:val="22"/>
          <w:szCs w:val="22"/>
        </w:rPr>
      </w:pPr>
      <w:r>
        <w:rPr>
          <w:rFonts w:cs="Arial" w:ascii="Arial" w:hAnsi="Arial"/>
          <w:color w:val="auto" w:themeColor="text1" w:themeTint="bf"/>
          <w:position w:val="0"/>
          <w:sz w:val="22"/>
          <w:sz w:val="22"/>
          <w:szCs w:val="22"/>
          <w:vertAlign w:val="baseline"/>
        </w:rPr>
        <w:t>Residui eliminati o riaccertati:</w:t>
        <w:tab/>
        <w:t xml:space="preserve">    +€    451.906,90</w:t>
      </w:r>
    </w:p>
    <w:p>
      <w:pPr>
        <w:pStyle w:val="Normal"/>
        <w:widowControl w:val="false"/>
        <w:suppressAutoHyphens w:val="false"/>
        <w:overflowPunct w:val="false"/>
        <w:spacing w:lineRule="auto" w:line="240" w:before="0" w:after="120"/>
        <w:ind w:left="0" w:right="0" w:hanging="0"/>
        <w:jc w:val="both"/>
        <w:textAlignment w:val="baseline"/>
        <w:rPr>
          <w:color w:val="auto"/>
          <w:sz w:val="22"/>
          <w:szCs w:val="22"/>
        </w:rPr>
      </w:pPr>
      <w:r>
        <w:rPr>
          <w:rFonts w:cs="Arial" w:ascii="Arial" w:hAnsi="Arial"/>
          <w:color w:val="auto" w:themeColor="text1" w:themeTint="bf"/>
          <w:position w:val="0"/>
          <w:sz w:val="22"/>
          <w:sz w:val="22"/>
          <w:szCs w:val="22"/>
          <w:vertAlign w:val="baseline"/>
        </w:rPr>
        <w:t>Residui riscossi nel 2024:</w:t>
        <w:tab/>
        <w:tab/>
        <w:t xml:space="preserve">      € 1.179.954,98</w:t>
      </w:r>
    </w:p>
    <w:p>
      <w:pPr>
        <w:pStyle w:val="Normal"/>
        <w:widowControl w:val="false"/>
        <w:suppressAutoHyphens w:val="false"/>
        <w:overflowPunct w:val="false"/>
        <w:spacing w:lineRule="auto" w:line="240" w:before="0" w:after="120"/>
        <w:ind w:left="0" w:right="0" w:hanging="0"/>
        <w:jc w:val="both"/>
        <w:textAlignment w:val="baseline"/>
        <w:rPr>
          <w:color w:val="auto"/>
          <w:sz w:val="22"/>
          <w:szCs w:val="22"/>
        </w:rPr>
      </w:pPr>
      <w:r>
        <w:rPr>
          <w:rFonts w:cs="Arial" w:ascii="Arial" w:hAnsi="Arial"/>
          <w:color w:val="auto" w:themeColor="text1" w:themeTint="bf"/>
          <w:position w:val="0"/>
          <w:sz w:val="22"/>
          <w:sz w:val="22"/>
          <w:szCs w:val="22"/>
          <w:vertAlign w:val="baseline"/>
        </w:rPr>
        <w:t>Residui al 31/12/2024:</w:t>
        <w:tab/>
        <w:tab/>
        <w:t xml:space="preserve">      € 8.808.252,59</w:t>
      </w:r>
    </w:p>
    <w:p>
      <w:pPr>
        <w:pStyle w:val="Normal"/>
        <w:widowControl w:val="false"/>
        <w:suppressAutoHyphens w:val="false"/>
        <w:overflowPunct w:val="false"/>
        <w:spacing w:lineRule="auto" w:line="240" w:before="0" w:after="120"/>
        <w:ind w:left="0" w:right="0" w:hanging="0"/>
        <w:jc w:val="both"/>
        <w:textAlignment w:val="baseline"/>
        <w:rPr>
          <w:color w:val="auto"/>
          <w:sz w:val="22"/>
          <w:szCs w:val="22"/>
        </w:rPr>
      </w:pPr>
      <w:r>
        <w:rPr>
          <w:rFonts w:cs="Arial" w:ascii="Arial" w:hAnsi="Arial"/>
          <w:color w:val="auto" w:themeColor="text1" w:themeTint="bf"/>
          <w:position w:val="0"/>
          <w:sz w:val="22"/>
          <w:sz w:val="22"/>
          <w:szCs w:val="22"/>
          <w:vertAlign w:val="baseline"/>
        </w:rPr>
        <w:t>Residui della competenza:</w:t>
        <w:tab/>
        <w:tab/>
        <w:t xml:space="preserve">      € 2.328.729,75</w:t>
      </w:r>
    </w:p>
    <w:p>
      <w:pPr>
        <w:pStyle w:val="Normal"/>
        <w:widowControl w:val="false"/>
        <w:suppressAutoHyphens w:val="false"/>
        <w:overflowPunct w:val="false"/>
        <w:spacing w:lineRule="auto" w:line="240" w:before="0" w:after="120"/>
        <w:ind w:left="0" w:right="0" w:hanging="0"/>
        <w:jc w:val="both"/>
        <w:textAlignment w:val="baseline"/>
        <w:rPr>
          <w:color w:val="auto"/>
          <w:sz w:val="22"/>
          <w:szCs w:val="22"/>
        </w:rPr>
      </w:pPr>
      <w:r>
        <w:rPr>
          <w:rFonts w:cs="Arial" w:ascii="Arial" w:hAnsi="Arial"/>
          <w:color w:val="auto" w:themeColor="text1" w:themeTint="bf"/>
          <w:position w:val="0"/>
          <w:sz w:val="22"/>
          <w:sz w:val="22"/>
          <w:szCs w:val="22"/>
          <w:vertAlign w:val="baseline"/>
        </w:rPr>
        <w:t>Residui totali:</w:t>
        <w:tab/>
        <w:tab/>
        <w:tab/>
        <w:tab/>
        <w:t xml:space="preserve">      €11.136.982,34</w:t>
      </w:r>
    </w:p>
    <w:p>
      <w:pPr>
        <w:pStyle w:val="Normal"/>
        <w:widowControl w:val="false"/>
        <w:suppressAutoHyphens w:val="false"/>
        <w:overflowPunct w:val="false"/>
        <w:spacing w:lineRule="auto" w:line="240" w:before="0" w:after="120"/>
        <w:ind w:left="0" w:right="0" w:hanging="0"/>
        <w:jc w:val="both"/>
        <w:textAlignment w:val="baseline"/>
        <w:rPr>
          <w:color w:val="auto"/>
          <w:sz w:val="22"/>
          <w:szCs w:val="22"/>
        </w:rPr>
      </w:pPr>
      <w:r>
        <w:rPr>
          <w:rFonts w:cs="Arial" w:ascii="Arial" w:hAnsi="Arial"/>
          <w:color w:val="auto" w:themeColor="text1" w:themeTint="bf"/>
          <w:position w:val="0"/>
          <w:sz w:val="22"/>
          <w:sz w:val="22"/>
          <w:szCs w:val="22"/>
          <w:vertAlign w:val="baseline"/>
        </w:rPr>
        <w:t>FCDE</w:t>
        <w:tab/>
        <w:tab/>
        <w:tab/>
        <w:tab/>
        <w:tab/>
        <w:tab/>
        <w:t>88,62%</w:t>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bookmarkStart w:id="79" w:name="_Toc379377464"/>
      <w:bookmarkStart w:id="80" w:name="_Toc379377464"/>
    </w:p>
    <w:p>
      <w:pPr>
        <w:pStyle w:val="Normal"/>
        <w:widowControl w:val="false"/>
        <w:overflowPunct w:val="true"/>
        <w:spacing w:lineRule="auto" w:line="240" w:before="0" w:after="120"/>
        <w:textAlignment w:val="baseline"/>
        <w:rPr>
          <w:rFonts w:ascii="Arial" w:hAnsi="Arial" w:eastAsia="Times New Roman" w:cs="Times New Roman"/>
          <w:i/>
          <w:i/>
          <w:color w:val="00B0F0"/>
          <w:sz w:val="20"/>
          <w:szCs w:val="20"/>
          <w:lang w:eastAsia="it-IT"/>
        </w:rPr>
      </w:pPr>
      <w:r>
        <w:rPr>
          <w:rFonts w:eastAsia="Times New Roman" w:cs="Times New Roman" w:ascii="Arial" w:hAnsi="Arial"/>
          <w:i/>
          <w:color w:val="00B0F0"/>
          <w:sz w:val="20"/>
          <w:szCs w:val="20"/>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t>Proventi dei beni dell’ente: fitti attivi e canoni patrimoniali – Immobili SAP</w:t>
      </w:r>
    </w:p>
    <w:p>
      <w:pPr>
        <w:pStyle w:val="Normal"/>
        <w:widowControl w:val="false"/>
        <w:numPr>
          <w:ilvl w:val="0"/>
          <w:numId w:val="0"/>
        </w:numPr>
        <w:overflowPunct w:val="true"/>
        <w:spacing w:lineRule="auto" w:line="240" w:before="12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Le entrate accertate nell’anno 2024 sono </w:t>
      </w:r>
      <w:r>
        <w:rPr>
          <w:rFonts w:eastAsia="Times New Roman" w:cs="Arial" w:ascii="Arial" w:hAnsi="Arial"/>
          <w:b/>
          <w:i/>
          <w:iCs/>
          <w:color w:val="auto"/>
          <w:szCs w:val="22"/>
          <w:lang w:eastAsia="it-IT"/>
        </w:rPr>
        <w:t>aumentate</w:t>
      </w:r>
      <w:r>
        <w:rPr>
          <w:rFonts w:eastAsia="Times New Roman" w:cs="Arial" w:ascii="Arial" w:hAnsi="Arial"/>
          <w:i/>
          <w:color w:val="auto"/>
          <w:szCs w:val="22"/>
          <w:lang w:eastAsia="it-IT"/>
        </w:rPr>
        <w:t xml:space="preserve"> </w:t>
      </w:r>
      <w:r>
        <w:rPr>
          <w:rFonts w:eastAsia="Times New Roman" w:cs="Arial" w:ascii="Arial" w:hAnsi="Arial"/>
          <w:color w:val="auto"/>
          <w:szCs w:val="22"/>
          <w:lang w:eastAsia="it-IT"/>
        </w:rPr>
        <w:t xml:space="preserve">di Euro 106.055,92 rispetto a quelle dell’esercizio 2023 </w:t>
      </w:r>
      <w:bookmarkEnd w:id="80"/>
      <w:r>
        <w:rPr>
          <w:rFonts w:eastAsia="Times New Roman" w:cs="Arial" w:ascii="Arial" w:hAnsi="Arial"/>
          <w:color w:val="auto"/>
          <w:szCs w:val="22"/>
          <w:lang w:eastAsia="it-IT"/>
        </w:rPr>
        <w:t>anche in relazione ai piani di rientro/rateizzazioni in corso</w:t>
      </w:r>
    </w:p>
    <w:p>
      <w:pPr>
        <w:pStyle w:val="Normal"/>
        <w:widowControl w:val="false"/>
        <w:numPr>
          <w:ilvl w:val="0"/>
          <w:numId w:val="0"/>
        </w:numPr>
        <w:overflowPunct w:val="true"/>
        <w:spacing w:lineRule="auto" w:line="240" w:before="12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ind w:left="0" w:right="0" w:hanging="2"/>
        <w:rPr>
          <w:color w:val="auto"/>
          <w:sz w:val="22"/>
          <w:szCs w:val="22"/>
        </w:rPr>
      </w:pPr>
      <w:r>
        <w:rPr>
          <w:rFonts w:cs="Arial" w:ascii="Arial" w:hAnsi="Arial"/>
          <w:color w:val="auto" w:themeColor="text1" w:themeTint="bf"/>
          <w:sz w:val="22"/>
          <w:szCs w:val="22"/>
        </w:rPr>
        <w:t>La movimentazione delle somme rimaste a residuo per fitti attivi e canoni patrimoniali è stata la seguente:</w:t>
      </w:r>
    </w:p>
    <w:p>
      <w:pPr>
        <w:pStyle w:val="Normal"/>
        <w:ind w:left="0" w:right="0" w:hanging="2"/>
        <w:rPr>
          <w:rFonts w:ascii="Arial" w:hAnsi="Arial" w:cs="Arial"/>
          <w:color w:val="auto"/>
          <w:sz w:val="22"/>
          <w:szCs w:val="22"/>
        </w:rPr>
      </w:pPr>
      <w:r>
        <w:rPr>
          <w:rFonts w:cs="Arial" w:ascii="Arial" w:hAnsi="Arial"/>
          <w:color w:val="auto"/>
          <w:sz w:val="22"/>
          <w:szCs w:val="22"/>
        </w:rPr>
      </w:r>
    </w:p>
    <w:p>
      <w:pPr>
        <w:pStyle w:val="Normal"/>
        <w:widowControl w:val="false"/>
        <w:suppressAutoHyphens w:val="false"/>
        <w:overflowPunct w:val="false"/>
        <w:spacing w:lineRule="auto" w:line="240" w:before="0" w:after="120"/>
        <w:ind w:left="0" w:right="0" w:hanging="0"/>
        <w:jc w:val="both"/>
        <w:textAlignment w:val="baseline"/>
        <w:rPr>
          <w:rFonts w:ascii="Arial" w:hAnsi="Arial"/>
          <w:sz w:val="22"/>
          <w:szCs w:val="22"/>
        </w:rPr>
      </w:pPr>
      <w:r>
        <w:rPr>
          <w:rFonts w:cs="Arial" w:ascii="Arial" w:hAnsi="Arial"/>
          <w:color w:val="auto" w:themeColor="text1" w:themeTint="bf"/>
          <w:position w:val="0"/>
          <w:sz w:val="22"/>
          <w:sz w:val="22"/>
          <w:szCs w:val="22"/>
          <w:vertAlign w:val="baseline"/>
        </w:rPr>
        <w:t>Residui attivi al 1/1/2024:</w:t>
        <w:tab/>
        <w:tab/>
        <w:tab/>
        <w:t>€ 280.125,31</w:t>
      </w:r>
    </w:p>
    <w:p>
      <w:pPr>
        <w:pStyle w:val="Normal"/>
        <w:widowControl w:val="false"/>
        <w:suppressAutoHyphens w:val="false"/>
        <w:overflowPunct w:val="false"/>
        <w:spacing w:lineRule="auto" w:line="240" w:before="0" w:after="120"/>
        <w:ind w:left="0" w:right="0" w:hanging="0"/>
        <w:jc w:val="both"/>
        <w:textAlignment w:val="baseline"/>
        <w:rPr>
          <w:rFonts w:ascii="Arial" w:hAnsi="Arial"/>
          <w:sz w:val="22"/>
          <w:szCs w:val="22"/>
        </w:rPr>
      </w:pPr>
      <w:r>
        <w:rPr>
          <w:rFonts w:cs="Arial" w:ascii="Arial" w:hAnsi="Arial"/>
          <w:color w:val="auto" w:themeColor="text1" w:themeTint="bf"/>
          <w:position w:val="0"/>
          <w:sz w:val="22"/>
          <w:sz w:val="22"/>
          <w:szCs w:val="22"/>
          <w:vertAlign w:val="baseline"/>
        </w:rPr>
        <w:t>Residui eliminati o riaccertati:</w:t>
        <w:tab/>
        <w:t xml:space="preserve">          - €  48.382,47</w:t>
      </w:r>
    </w:p>
    <w:p>
      <w:pPr>
        <w:pStyle w:val="Normal"/>
        <w:widowControl w:val="false"/>
        <w:suppressAutoHyphens w:val="false"/>
        <w:overflowPunct w:val="false"/>
        <w:spacing w:lineRule="auto" w:line="240" w:before="0" w:after="120"/>
        <w:ind w:left="0" w:right="0" w:hanging="0"/>
        <w:jc w:val="both"/>
        <w:textAlignment w:val="baseline"/>
        <w:rPr>
          <w:rFonts w:ascii="Arial" w:hAnsi="Arial"/>
          <w:sz w:val="22"/>
          <w:szCs w:val="22"/>
        </w:rPr>
      </w:pPr>
      <w:r>
        <w:rPr>
          <w:rFonts w:cs="Arial" w:ascii="Arial" w:hAnsi="Arial"/>
          <w:color w:val="auto" w:themeColor="text1" w:themeTint="bf"/>
          <w:position w:val="0"/>
          <w:sz w:val="22"/>
          <w:sz w:val="22"/>
          <w:szCs w:val="22"/>
          <w:vertAlign w:val="baseline"/>
        </w:rPr>
        <w:t>Residui riscossi nel 2024:</w:t>
        <w:tab/>
        <w:tab/>
        <w:tab/>
        <w:t>€   35.829,23</w:t>
      </w:r>
    </w:p>
    <w:p>
      <w:pPr>
        <w:pStyle w:val="Normal"/>
        <w:widowControl w:val="false"/>
        <w:suppressAutoHyphens w:val="false"/>
        <w:overflowPunct w:val="false"/>
        <w:spacing w:lineRule="auto" w:line="240" w:before="0" w:after="120"/>
        <w:ind w:left="0" w:right="0" w:hanging="0"/>
        <w:jc w:val="both"/>
        <w:textAlignment w:val="baseline"/>
        <w:rPr>
          <w:rFonts w:ascii="Arial" w:hAnsi="Arial"/>
          <w:sz w:val="22"/>
          <w:szCs w:val="22"/>
        </w:rPr>
      </w:pPr>
      <w:r>
        <w:rPr>
          <w:rFonts w:eastAsia="Times New Roman" w:cs="Arial" w:ascii="Arial" w:hAnsi="Arial"/>
          <w:color w:val="auto" w:themeColor="text1" w:themeTint="bf"/>
          <w:position w:val="0"/>
          <w:sz w:val="22"/>
          <w:sz w:val="22"/>
          <w:szCs w:val="22"/>
          <w:vertAlign w:val="baseline"/>
          <w:lang w:eastAsia="it-IT"/>
        </w:rPr>
        <w:t>Residui al 31/12/2024:</w:t>
        <w:tab/>
        <w:tab/>
        <w:tab/>
        <w:t>€ 195.913,61</w:t>
      </w:r>
    </w:p>
    <w:p>
      <w:pPr>
        <w:pStyle w:val="Normal"/>
        <w:widowControl w:val="false"/>
        <w:suppressAutoHyphens w:val="false"/>
        <w:overflowPunct w:val="false"/>
        <w:spacing w:lineRule="auto" w:line="240" w:before="0" w:after="120"/>
        <w:ind w:left="0" w:right="0" w:hanging="0"/>
        <w:jc w:val="both"/>
        <w:textAlignment w:val="baseline"/>
        <w:rPr>
          <w:rFonts w:ascii="Arial" w:hAnsi="Arial"/>
          <w:sz w:val="22"/>
          <w:szCs w:val="22"/>
        </w:rPr>
      </w:pPr>
      <w:r>
        <w:rPr>
          <w:rFonts w:cs="Arial" w:ascii="Arial" w:hAnsi="Arial"/>
          <w:color w:val="auto" w:themeColor="text1" w:themeTint="bf"/>
          <w:position w:val="0"/>
          <w:sz w:val="22"/>
          <w:sz w:val="22"/>
          <w:szCs w:val="22"/>
          <w:vertAlign w:val="baseline"/>
        </w:rPr>
        <w:t>Residui della competenza:</w:t>
        <w:tab/>
        <w:tab/>
        <w:tab/>
        <w:t>€ 162.399,05</w:t>
      </w:r>
    </w:p>
    <w:p>
      <w:pPr>
        <w:pStyle w:val="Normal"/>
        <w:widowControl w:val="false"/>
        <w:suppressAutoHyphens w:val="false"/>
        <w:overflowPunct w:val="false"/>
        <w:spacing w:lineRule="auto" w:line="240" w:before="0" w:after="120"/>
        <w:ind w:left="0" w:right="0" w:hanging="0"/>
        <w:jc w:val="both"/>
        <w:textAlignment w:val="baseline"/>
        <w:rPr>
          <w:rFonts w:ascii="Arial" w:hAnsi="Arial"/>
          <w:sz w:val="22"/>
          <w:szCs w:val="22"/>
        </w:rPr>
      </w:pPr>
      <w:r>
        <w:rPr>
          <w:rFonts w:cs="Arial" w:ascii="Arial" w:hAnsi="Arial"/>
          <w:color w:val="auto" w:themeColor="text1" w:themeTint="bf"/>
          <w:position w:val="0"/>
          <w:sz w:val="22"/>
          <w:sz w:val="22"/>
          <w:szCs w:val="22"/>
          <w:vertAlign w:val="baseline"/>
        </w:rPr>
        <w:t>Residui totali:</w:t>
        <w:tab/>
        <w:tab/>
        <w:tab/>
        <w:tab/>
        <w:tab/>
        <w:t>€</w:t>
      </w:r>
      <w:r>
        <w:rPr>
          <w:rFonts w:cs="Arial" w:ascii="Arial" w:hAnsi="Arial"/>
          <w:color w:val="auto" w:themeColor="text1" w:themeTint="bf"/>
          <w:sz w:val="22"/>
          <w:szCs w:val="22"/>
        </w:rPr>
        <w:t xml:space="preserve"> </w:t>
      </w:r>
      <w:r>
        <w:rPr>
          <w:rFonts w:cs="Arial" w:ascii="Arial" w:hAnsi="Arial"/>
          <w:color w:val="auto" w:themeColor="text1" w:themeTint="bf"/>
          <w:position w:val="0"/>
          <w:sz w:val="22"/>
          <w:sz w:val="22"/>
          <w:szCs w:val="22"/>
          <w:vertAlign w:val="baseline"/>
        </w:rPr>
        <w:t>358.312,66</w:t>
      </w:r>
    </w:p>
    <w:p>
      <w:pPr>
        <w:pStyle w:val="Normal"/>
        <w:widowControl w:val="false"/>
        <w:suppressAutoHyphens w:val="false"/>
        <w:overflowPunct w:val="false"/>
        <w:spacing w:lineRule="auto" w:line="240" w:before="0" w:after="120"/>
        <w:ind w:left="0" w:right="0" w:hanging="0"/>
        <w:jc w:val="both"/>
        <w:textAlignment w:val="baseline"/>
        <w:rPr>
          <w:rFonts w:ascii="Arial" w:hAnsi="Arial"/>
          <w:sz w:val="22"/>
          <w:szCs w:val="22"/>
        </w:rPr>
      </w:pPr>
      <w:r>
        <w:rPr>
          <w:rFonts w:eastAsia="Times New Roman" w:cs="Arial" w:ascii="Arial" w:hAnsi="Arial"/>
          <w:color w:val="auto" w:themeColor="text1" w:themeTint="bf"/>
          <w:position w:val="0"/>
          <w:sz w:val="22"/>
          <w:sz w:val="22"/>
          <w:szCs w:val="22"/>
          <w:vertAlign w:val="baseline"/>
          <w:lang w:eastAsia="it-IT"/>
        </w:rPr>
        <w:t xml:space="preserve">FCDE </w:t>
        <w:tab/>
        <w:tab/>
        <w:tab/>
        <w:tab/>
        <w:tab/>
        <w:tab/>
        <w:t xml:space="preserve">      83,77%</w:t>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t>Attività di verifica e controllo</w:t>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themeColor="text1" w:themeTint="bf"/>
          <w:szCs w:val="22"/>
          <w:lang w:eastAsia="it-IT"/>
        </w:rPr>
        <w:t xml:space="preserve">In merito all’attività di verifica e di controllo delle dichiarazioni e dei versamenti, l’Organo di revisione, con riferimento all’analisi di particolari entrate in termini di efficienza nella fase di accertamento e riscossione, rileva che </w:t>
      </w:r>
      <w:r>
        <w:rPr>
          <w:rFonts w:eastAsia="Times New Roman" w:cs="Arial" w:ascii="Arial" w:hAnsi="Arial"/>
          <w:b/>
          <w:i/>
          <w:color w:val="auto" w:themeColor="text1" w:themeTint="bf"/>
          <w:szCs w:val="22"/>
          <w:lang w:eastAsia="it-IT"/>
        </w:rPr>
        <w:t>sono</w:t>
      </w:r>
      <w:r>
        <w:rPr>
          <w:rFonts w:eastAsia="Times New Roman" w:cs="Arial" w:ascii="Arial" w:hAnsi="Arial"/>
          <w:i/>
          <w:color w:val="auto" w:themeColor="text1" w:themeTint="bf"/>
          <w:szCs w:val="22"/>
          <w:lang w:eastAsia="it-IT"/>
        </w:rPr>
        <w:t xml:space="preserve"> </w:t>
      </w:r>
      <w:r>
        <w:rPr>
          <w:rFonts w:eastAsia="Times New Roman" w:cs="Arial" w:ascii="Arial" w:hAnsi="Arial"/>
          <w:color w:val="auto" w:themeColor="text1" w:themeTint="bf"/>
          <w:szCs w:val="22"/>
          <w:lang w:eastAsia="it-IT"/>
        </w:rPr>
        <w:t>stati conseguiti i risultati attesi e che in particolare le entrate per il recupero dell’evasione sono state le seguenti:</w:t>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tbl>
      <w:tblPr>
        <w:tblW w:w="9154" w:type="dxa"/>
        <w:jc w:val="left"/>
        <w:tblInd w:w="-2" w:type="dxa"/>
        <w:tblLayout w:type="fixed"/>
        <w:tblCellMar>
          <w:top w:w="0" w:type="dxa"/>
          <w:left w:w="28" w:type="dxa"/>
          <w:bottom w:w="0" w:type="dxa"/>
          <w:right w:w="28" w:type="dxa"/>
        </w:tblCellMar>
      </w:tblPr>
      <w:tblGrid>
        <w:gridCol w:w="1276"/>
        <w:gridCol w:w="1415"/>
        <w:gridCol w:w="1698"/>
        <w:gridCol w:w="857"/>
        <w:gridCol w:w="1414"/>
        <w:gridCol w:w="1585"/>
        <w:gridCol w:w="908"/>
      </w:tblGrid>
      <w:tr>
        <w:trPr>
          <w:trHeight w:val="684" w:hRule="atLeast"/>
        </w:trPr>
        <w:tc>
          <w:tcPr>
            <w:tcW w:w="1276"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left"/>
              <w:rPr>
                <w:rFonts w:ascii="Arial" w:hAnsi="Arial"/>
                <w:color w:val="auto"/>
                <w:sz w:val="16"/>
                <w:szCs w:val="16"/>
              </w:rPr>
            </w:pPr>
            <w:r>
              <w:rPr>
                <w:rFonts w:ascii="Arial" w:hAnsi="Arial"/>
                <w:color w:val="auto"/>
                <w:sz w:val="16"/>
                <w:szCs w:val="16"/>
              </w:rPr>
            </w:r>
          </w:p>
        </w:tc>
        <w:tc>
          <w:tcPr>
            <w:tcW w:w="1415"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center"/>
              <w:rPr>
                <w:rFonts w:ascii="Arial" w:hAnsi="Arial"/>
                <w:b/>
                <w:b/>
                <w:bCs/>
                <w:color w:val="auto"/>
                <w:sz w:val="16"/>
                <w:szCs w:val="16"/>
              </w:rPr>
            </w:pPr>
            <w:r>
              <w:rPr>
                <w:rFonts w:ascii="Arial" w:hAnsi="Arial"/>
                <w:b/>
                <w:bCs/>
                <w:color w:val="auto"/>
                <w:sz w:val="16"/>
                <w:szCs w:val="16"/>
              </w:rPr>
              <w:t>Accertamenti 2023</w:t>
            </w:r>
          </w:p>
        </w:tc>
        <w:tc>
          <w:tcPr>
            <w:tcW w:w="1698"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center"/>
              <w:rPr>
                <w:rFonts w:ascii="Arial" w:hAnsi="Arial"/>
                <w:b/>
                <w:b/>
                <w:bCs/>
                <w:color w:val="auto"/>
                <w:sz w:val="16"/>
                <w:szCs w:val="16"/>
              </w:rPr>
            </w:pPr>
            <w:r>
              <w:rPr>
                <w:rFonts w:ascii="Arial" w:hAnsi="Arial"/>
                <w:b/>
                <w:bCs/>
                <w:color w:val="auto"/>
                <w:sz w:val="16"/>
                <w:szCs w:val="16"/>
              </w:rPr>
              <w:t>Riscossioni 2023</w:t>
            </w:r>
          </w:p>
        </w:tc>
        <w:tc>
          <w:tcPr>
            <w:tcW w:w="857"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center"/>
              <w:rPr>
                <w:rFonts w:ascii="Arial" w:hAnsi="Arial"/>
                <w:b/>
                <w:b/>
                <w:bCs/>
                <w:color w:val="auto"/>
                <w:sz w:val="16"/>
                <w:szCs w:val="16"/>
              </w:rPr>
            </w:pPr>
            <w:r>
              <w:rPr>
                <w:rFonts w:ascii="Arial" w:hAnsi="Arial"/>
                <w:b/>
                <w:bCs/>
                <w:color w:val="auto"/>
                <w:sz w:val="16"/>
                <w:szCs w:val="16"/>
              </w:rPr>
              <w:t>FCDE 2023</w:t>
            </w:r>
          </w:p>
        </w:tc>
        <w:tc>
          <w:tcPr>
            <w:tcW w:w="1414"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center"/>
              <w:rPr>
                <w:rFonts w:ascii="Arial" w:hAnsi="Arial"/>
                <w:b/>
                <w:b/>
                <w:bCs/>
                <w:color w:val="auto"/>
                <w:sz w:val="16"/>
                <w:szCs w:val="16"/>
              </w:rPr>
            </w:pPr>
            <w:r>
              <w:rPr>
                <w:rFonts w:ascii="Arial" w:hAnsi="Arial"/>
                <w:b/>
                <w:bCs/>
                <w:color w:val="auto"/>
                <w:sz w:val="16"/>
                <w:szCs w:val="16"/>
              </w:rPr>
              <w:t>Accertamenti 2024</w:t>
            </w:r>
          </w:p>
        </w:tc>
        <w:tc>
          <w:tcPr>
            <w:tcW w:w="1585"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center"/>
              <w:rPr>
                <w:rFonts w:ascii="Arial" w:hAnsi="Arial"/>
                <w:b/>
                <w:b/>
                <w:bCs/>
                <w:color w:val="auto"/>
                <w:sz w:val="16"/>
                <w:szCs w:val="16"/>
              </w:rPr>
            </w:pPr>
            <w:r>
              <w:rPr>
                <w:rFonts w:ascii="Arial" w:hAnsi="Arial"/>
                <w:b/>
                <w:bCs/>
                <w:color w:val="auto"/>
                <w:sz w:val="16"/>
                <w:szCs w:val="16"/>
              </w:rPr>
              <w:t>Riscossioni 2024</w:t>
            </w:r>
          </w:p>
        </w:tc>
        <w:tc>
          <w:tcPr>
            <w:tcW w:w="908"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center"/>
              <w:rPr>
                <w:rFonts w:ascii="Arial" w:hAnsi="Arial"/>
                <w:b/>
                <w:b/>
                <w:bCs/>
                <w:color w:val="auto"/>
                <w:sz w:val="16"/>
                <w:szCs w:val="16"/>
              </w:rPr>
            </w:pPr>
            <w:r>
              <w:rPr>
                <w:rFonts w:ascii="Arial" w:hAnsi="Arial"/>
                <w:b/>
                <w:bCs/>
                <w:color w:val="auto"/>
                <w:sz w:val="16"/>
                <w:szCs w:val="16"/>
              </w:rPr>
              <w:t>Fcde 2024</w:t>
            </w:r>
          </w:p>
        </w:tc>
      </w:tr>
      <w:tr>
        <w:trPr>
          <w:trHeight w:val="684" w:hRule="atLeast"/>
        </w:trPr>
        <w:tc>
          <w:tcPr>
            <w:tcW w:w="1276" w:type="dxa"/>
            <w:tcBorders>
              <w:left w:val="single" w:sz="2" w:space="0" w:color="000000"/>
              <w:bottom w:val="single" w:sz="2" w:space="0" w:color="000000"/>
            </w:tcBorders>
            <w:vAlign w:val="center"/>
          </w:tcPr>
          <w:p>
            <w:pPr>
              <w:pStyle w:val="Normal"/>
              <w:widowControl w:val="false"/>
              <w:tabs>
                <w:tab w:val="clear" w:pos="708"/>
              </w:tabs>
              <w:spacing w:before="0" w:after="200"/>
              <w:jc w:val="left"/>
              <w:rPr>
                <w:rFonts w:ascii="Arial" w:hAnsi="Arial"/>
                <w:color w:val="auto"/>
                <w:sz w:val="16"/>
                <w:szCs w:val="16"/>
              </w:rPr>
            </w:pPr>
            <w:r>
              <w:rPr>
                <w:rFonts w:ascii="Arial" w:hAnsi="Arial"/>
                <w:b/>
                <w:color w:val="auto"/>
                <w:sz w:val="16"/>
                <w:szCs w:val="16"/>
              </w:rPr>
              <w:t>Recupero evasione IMU</w:t>
            </w:r>
          </w:p>
        </w:tc>
        <w:tc>
          <w:tcPr>
            <w:tcW w:w="1415"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color w:val="auto"/>
                <w:sz w:val="18"/>
                <w:szCs w:val="18"/>
              </w:rPr>
            </w:pPr>
            <w:r>
              <w:rPr>
                <w:rFonts w:ascii="Arial" w:hAnsi="Arial"/>
                <w:color w:val="auto"/>
                <w:sz w:val="18"/>
                <w:szCs w:val="18"/>
              </w:rPr>
              <w:t xml:space="preserve"> € </w:t>
            </w:r>
            <w:r>
              <w:rPr>
                <w:rFonts w:ascii="Arial" w:hAnsi="Arial"/>
                <w:color w:val="auto"/>
                <w:sz w:val="18"/>
                <w:szCs w:val="18"/>
              </w:rPr>
              <w:t>1.343.372,15</w:t>
            </w:r>
          </w:p>
        </w:tc>
        <w:tc>
          <w:tcPr>
            <w:tcW w:w="1698"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color w:val="auto"/>
                <w:sz w:val="18"/>
                <w:szCs w:val="18"/>
              </w:rPr>
            </w:pPr>
            <w:r>
              <w:rPr>
                <w:rFonts w:ascii="Arial" w:hAnsi="Arial"/>
                <w:color w:val="auto"/>
                <w:sz w:val="18"/>
                <w:szCs w:val="18"/>
              </w:rPr>
              <w:t xml:space="preserve"> € </w:t>
            </w:r>
            <w:r>
              <w:rPr>
                <w:rFonts w:ascii="Arial" w:hAnsi="Arial"/>
                <w:color w:val="auto"/>
                <w:sz w:val="18"/>
                <w:szCs w:val="18"/>
              </w:rPr>
              <w:t>401.881,43</w:t>
            </w:r>
          </w:p>
        </w:tc>
        <w:tc>
          <w:tcPr>
            <w:tcW w:w="857"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color w:val="auto"/>
                <w:sz w:val="18"/>
                <w:szCs w:val="18"/>
              </w:rPr>
            </w:pPr>
            <w:r>
              <w:rPr>
                <w:rFonts w:ascii="Arial" w:hAnsi="Arial"/>
                <w:color w:val="auto"/>
                <w:sz w:val="18"/>
                <w:szCs w:val="18"/>
              </w:rPr>
              <w:t>84,23%</w:t>
            </w:r>
          </w:p>
        </w:tc>
        <w:tc>
          <w:tcPr>
            <w:tcW w:w="1414"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color w:val="auto"/>
                <w:sz w:val="18"/>
                <w:szCs w:val="18"/>
              </w:rPr>
            </w:pPr>
            <w:r>
              <w:rPr>
                <w:rFonts w:ascii="Arial" w:hAnsi="Arial"/>
                <w:color w:val="auto"/>
                <w:sz w:val="18"/>
                <w:szCs w:val="18"/>
              </w:rPr>
              <w:t xml:space="preserve">€ </w:t>
            </w:r>
            <w:r>
              <w:rPr>
                <w:rFonts w:ascii="Arial" w:hAnsi="Arial"/>
                <w:color w:val="auto"/>
                <w:sz w:val="18"/>
                <w:szCs w:val="18"/>
              </w:rPr>
              <w:t>1.076.682,21</w:t>
            </w:r>
          </w:p>
        </w:tc>
        <w:tc>
          <w:tcPr>
            <w:tcW w:w="1585"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color w:val="auto"/>
                <w:sz w:val="18"/>
                <w:szCs w:val="18"/>
              </w:rPr>
            </w:pPr>
            <w:r>
              <w:rPr>
                <w:rFonts w:ascii="Arial" w:hAnsi="Arial"/>
                <w:color w:val="auto"/>
                <w:sz w:val="18"/>
                <w:szCs w:val="18"/>
              </w:rPr>
              <w:t xml:space="preserve">€ </w:t>
            </w:r>
            <w:r>
              <w:rPr>
                <w:rFonts w:ascii="Arial" w:hAnsi="Arial"/>
                <w:color w:val="auto"/>
                <w:sz w:val="18"/>
                <w:szCs w:val="18"/>
              </w:rPr>
              <w:t>480.704,39</w:t>
            </w:r>
          </w:p>
        </w:tc>
        <w:tc>
          <w:tcPr>
            <w:tcW w:w="908"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color w:val="auto"/>
                <w:sz w:val="18"/>
                <w:szCs w:val="18"/>
              </w:rPr>
            </w:pPr>
            <w:r>
              <w:rPr>
                <w:rFonts w:ascii="Arial" w:hAnsi="Arial"/>
                <w:color w:val="auto"/>
                <w:sz w:val="18"/>
                <w:szCs w:val="18"/>
              </w:rPr>
              <w:t>87,28%</w:t>
            </w:r>
          </w:p>
        </w:tc>
      </w:tr>
      <w:tr>
        <w:trPr>
          <w:trHeight w:val="772" w:hRule="atLeast"/>
        </w:trPr>
        <w:tc>
          <w:tcPr>
            <w:tcW w:w="1276" w:type="dxa"/>
            <w:tcBorders>
              <w:left w:val="single" w:sz="2" w:space="0" w:color="000000"/>
              <w:bottom w:val="single" w:sz="2" w:space="0" w:color="000000"/>
            </w:tcBorders>
            <w:vAlign w:val="center"/>
          </w:tcPr>
          <w:p>
            <w:pPr>
              <w:pStyle w:val="Normal"/>
              <w:widowControl w:val="false"/>
              <w:tabs>
                <w:tab w:val="clear" w:pos="708"/>
              </w:tabs>
              <w:spacing w:before="0" w:after="200"/>
              <w:jc w:val="left"/>
              <w:rPr>
                <w:rFonts w:ascii="Arial" w:hAnsi="Arial"/>
                <w:color w:val="auto"/>
                <w:sz w:val="16"/>
                <w:szCs w:val="16"/>
              </w:rPr>
            </w:pPr>
            <w:r>
              <w:rPr>
                <w:rFonts w:ascii="Arial" w:hAnsi="Arial"/>
                <w:b/>
                <w:color w:val="auto"/>
                <w:sz w:val="16"/>
                <w:szCs w:val="16"/>
              </w:rPr>
              <w:t>Recupero evasione TARSU/TIA/TARES</w:t>
            </w:r>
          </w:p>
        </w:tc>
        <w:tc>
          <w:tcPr>
            <w:tcW w:w="1415"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color w:val="auto"/>
                <w:sz w:val="18"/>
                <w:szCs w:val="18"/>
              </w:rPr>
            </w:pPr>
            <w:r>
              <w:rPr>
                <w:rFonts w:ascii="Arial" w:hAnsi="Arial"/>
                <w:color w:val="auto"/>
                <w:sz w:val="18"/>
                <w:szCs w:val="18"/>
              </w:rPr>
              <w:t xml:space="preserve"> € </w:t>
            </w:r>
            <w:r>
              <w:rPr>
                <w:rFonts w:ascii="Arial" w:hAnsi="Arial"/>
                <w:color w:val="auto"/>
                <w:sz w:val="18"/>
                <w:szCs w:val="18"/>
              </w:rPr>
              <w:t>637.916,74</w:t>
            </w:r>
          </w:p>
        </w:tc>
        <w:tc>
          <w:tcPr>
            <w:tcW w:w="1698"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color w:val="auto"/>
                <w:sz w:val="18"/>
                <w:szCs w:val="18"/>
              </w:rPr>
            </w:pPr>
            <w:r>
              <w:rPr>
                <w:rFonts w:ascii="Arial" w:hAnsi="Arial"/>
                <w:color w:val="auto"/>
                <w:sz w:val="18"/>
                <w:szCs w:val="18"/>
              </w:rPr>
              <w:t xml:space="preserve"> € </w:t>
            </w:r>
            <w:r>
              <w:rPr>
                <w:rFonts w:ascii="Arial" w:hAnsi="Arial"/>
                <w:color w:val="auto"/>
                <w:sz w:val="18"/>
                <w:szCs w:val="18"/>
              </w:rPr>
              <w:t>343.393,77</w:t>
            </w:r>
          </w:p>
        </w:tc>
        <w:tc>
          <w:tcPr>
            <w:tcW w:w="857"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color w:val="auto"/>
                <w:sz w:val="18"/>
                <w:szCs w:val="18"/>
              </w:rPr>
            </w:pPr>
            <w:r>
              <w:rPr>
                <w:rFonts w:ascii="Arial" w:hAnsi="Arial"/>
                <w:color w:val="auto"/>
                <w:sz w:val="18"/>
                <w:szCs w:val="18"/>
              </w:rPr>
              <w:t>84,13%</w:t>
            </w:r>
          </w:p>
        </w:tc>
        <w:tc>
          <w:tcPr>
            <w:tcW w:w="1414"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color w:val="auto"/>
                <w:sz w:val="18"/>
                <w:szCs w:val="18"/>
              </w:rPr>
            </w:pPr>
            <w:r>
              <w:rPr>
                <w:rFonts w:ascii="Arial" w:hAnsi="Arial"/>
                <w:color w:val="auto"/>
                <w:sz w:val="18"/>
                <w:szCs w:val="18"/>
              </w:rPr>
              <w:t xml:space="preserve">€ </w:t>
            </w:r>
            <w:r>
              <w:rPr>
                <w:rFonts w:ascii="Arial" w:hAnsi="Arial"/>
                <w:color w:val="auto"/>
                <w:sz w:val="18"/>
                <w:szCs w:val="18"/>
              </w:rPr>
              <w:t>400.817,37</w:t>
            </w:r>
          </w:p>
        </w:tc>
        <w:tc>
          <w:tcPr>
            <w:tcW w:w="1585"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color w:val="auto"/>
                <w:sz w:val="18"/>
                <w:szCs w:val="18"/>
              </w:rPr>
            </w:pPr>
            <w:r>
              <w:rPr>
                <w:rFonts w:ascii="Arial" w:hAnsi="Arial"/>
                <w:color w:val="auto"/>
                <w:sz w:val="18"/>
                <w:szCs w:val="18"/>
              </w:rPr>
              <w:t xml:space="preserve">€ </w:t>
            </w:r>
            <w:r>
              <w:rPr>
                <w:rFonts w:ascii="Arial" w:hAnsi="Arial"/>
                <w:color w:val="auto"/>
                <w:sz w:val="18"/>
                <w:szCs w:val="18"/>
              </w:rPr>
              <w:t>311.806,18</w:t>
            </w:r>
          </w:p>
        </w:tc>
        <w:tc>
          <w:tcPr>
            <w:tcW w:w="908"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color w:val="auto"/>
                <w:sz w:val="18"/>
                <w:szCs w:val="18"/>
              </w:rPr>
            </w:pPr>
            <w:r>
              <w:rPr>
                <w:rFonts w:ascii="Arial" w:hAnsi="Arial"/>
                <w:color w:val="auto"/>
                <w:sz w:val="18"/>
                <w:szCs w:val="18"/>
              </w:rPr>
              <w:t>77,54%</w:t>
            </w:r>
          </w:p>
        </w:tc>
      </w:tr>
      <w:tr>
        <w:trPr>
          <w:trHeight w:val="340" w:hRule="atLeast"/>
        </w:trPr>
        <w:tc>
          <w:tcPr>
            <w:tcW w:w="1276" w:type="dxa"/>
            <w:tcBorders>
              <w:left w:val="single" w:sz="2" w:space="0" w:color="000000"/>
              <w:bottom w:val="single" w:sz="2" w:space="0" w:color="000000"/>
            </w:tcBorders>
            <w:vAlign w:val="center"/>
          </w:tcPr>
          <w:p>
            <w:pPr>
              <w:pStyle w:val="Normal"/>
              <w:widowControl w:val="false"/>
              <w:tabs>
                <w:tab w:val="clear" w:pos="708"/>
              </w:tabs>
              <w:spacing w:before="0" w:after="200"/>
              <w:jc w:val="left"/>
              <w:rPr>
                <w:rFonts w:ascii="Arial" w:hAnsi="Arial"/>
                <w:b/>
                <w:b/>
                <w:bCs/>
                <w:color w:val="auto"/>
                <w:sz w:val="16"/>
                <w:szCs w:val="16"/>
              </w:rPr>
            </w:pPr>
            <w:r>
              <w:rPr>
                <w:rFonts w:ascii="Arial" w:hAnsi="Arial"/>
                <w:b/>
                <w:bCs/>
                <w:color w:val="auto"/>
                <w:sz w:val="16"/>
                <w:szCs w:val="16"/>
              </w:rPr>
              <w:t>TOTALE</w:t>
            </w:r>
          </w:p>
        </w:tc>
        <w:tc>
          <w:tcPr>
            <w:tcW w:w="1415"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b/>
                <w:b/>
                <w:bCs/>
                <w:color w:val="auto"/>
                <w:sz w:val="16"/>
                <w:szCs w:val="16"/>
              </w:rPr>
            </w:pPr>
            <w:r>
              <w:rPr>
                <w:rFonts w:ascii="Arial" w:hAnsi="Arial"/>
                <w:b/>
                <w:bCs/>
                <w:color w:val="auto"/>
                <w:sz w:val="16"/>
                <w:szCs w:val="16"/>
              </w:rPr>
              <w:t xml:space="preserve"> € </w:t>
            </w:r>
            <w:r>
              <w:rPr>
                <w:rFonts w:ascii="Arial" w:hAnsi="Arial"/>
                <w:b/>
                <w:bCs/>
                <w:color w:val="auto"/>
                <w:sz w:val="16"/>
                <w:szCs w:val="16"/>
              </w:rPr>
              <w:t>1.981.288,89</w:t>
            </w:r>
          </w:p>
        </w:tc>
        <w:tc>
          <w:tcPr>
            <w:tcW w:w="1698"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b/>
                <w:b/>
                <w:bCs/>
                <w:color w:val="auto"/>
                <w:sz w:val="16"/>
                <w:szCs w:val="16"/>
              </w:rPr>
            </w:pPr>
            <w:r>
              <w:rPr>
                <w:rFonts w:ascii="Arial" w:hAnsi="Arial"/>
                <w:b/>
                <w:bCs/>
                <w:color w:val="auto"/>
                <w:sz w:val="16"/>
                <w:szCs w:val="16"/>
              </w:rPr>
              <w:t xml:space="preserve"> € </w:t>
            </w:r>
            <w:r>
              <w:rPr>
                <w:rFonts w:ascii="Arial" w:hAnsi="Arial"/>
                <w:b/>
                <w:bCs/>
                <w:color w:val="auto"/>
                <w:sz w:val="16"/>
                <w:szCs w:val="16"/>
              </w:rPr>
              <w:t>745.275,20</w:t>
            </w:r>
          </w:p>
        </w:tc>
        <w:tc>
          <w:tcPr>
            <w:tcW w:w="857"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b/>
                <w:b/>
                <w:bCs/>
                <w:color w:val="auto"/>
                <w:sz w:val="16"/>
                <w:szCs w:val="16"/>
              </w:rPr>
            </w:pPr>
            <w:r>
              <w:rPr>
                <w:rFonts w:ascii="Arial" w:hAnsi="Arial"/>
                <w:b/>
                <w:bCs/>
                <w:color w:val="auto"/>
                <w:sz w:val="16"/>
                <w:szCs w:val="16"/>
              </w:rPr>
              <w:t>168,36</w:t>
            </w:r>
          </w:p>
        </w:tc>
        <w:tc>
          <w:tcPr>
            <w:tcW w:w="1414"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b/>
                <w:b/>
                <w:bCs/>
                <w:color w:val="auto"/>
                <w:sz w:val="16"/>
                <w:szCs w:val="16"/>
              </w:rPr>
            </w:pPr>
            <w:r>
              <w:rPr>
                <w:rFonts w:ascii="Arial" w:hAnsi="Arial"/>
                <w:b/>
                <w:bCs/>
                <w:color w:val="auto"/>
                <w:sz w:val="16"/>
                <w:szCs w:val="16"/>
              </w:rPr>
              <w:t>1.477.499,58</w:t>
            </w:r>
          </w:p>
        </w:tc>
        <w:tc>
          <w:tcPr>
            <w:tcW w:w="1585"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b/>
                <w:b/>
                <w:bCs/>
                <w:color w:val="auto"/>
                <w:sz w:val="16"/>
                <w:szCs w:val="16"/>
              </w:rPr>
            </w:pPr>
            <w:r>
              <w:rPr>
                <w:rFonts w:ascii="Arial" w:hAnsi="Arial"/>
                <w:b/>
                <w:bCs/>
                <w:color w:val="auto"/>
                <w:sz w:val="16"/>
                <w:szCs w:val="16"/>
              </w:rPr>
              <w:t>792.510,57</w:t>
            </w:r>
          </w:p>
        </w:tc>
        <w:tc>
          <w:tcPr>
            <w:tcW w:w="908"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b/>
                <w:b/>
                <w:bCs/>
                <w:color w:val="auto"/>
                <w:sz w:val="16"/>
                <w:szCs w:val="16"/>
              </w:rPr>
            </w:pPr>
            <w:r>
              <w:rPr>
                <w:rFonts w:ascii="Arial" w:hAnsi="Arial"/>
                <w:b/>
                <w:bCs/>
                <w:color w:val="auto"/>
                <w:sz w:val="16"/>
                <w:szCs w:val="16"/>
              </w:rPr>
              <w:t>164,82</w:t>
            </w:r>
          </w:p>
        </w:tc>
      </w:tr>
    </w:tbl>
    <w:p>
      <w:pPr>
        <w:pStyle w:val="Normal"/>
        <w:widowControl w:val="false"/>
        <w:overflowPunct w:val="true"/>
        <w:spacing w:lineRule="auto" w:line="240" w:before="120" w:after="120"/>
        <w:textAlignment w:val="baseline"/>
        <w:rPr>
          <w:rFonts w:ascii="Arial" w:hAnsi="Arial" w:eastAsia="Times New Roman" w:cs="Arial"/>
          <w:strike/>
          <w:color w:val="auto"/>
          <w:sz w:val="20"/>
          <w:szCs w:val="20"/>
          <w:highlight w:val="yellow"/>
          <w:lang w:eastAsia="it-IT"/>
        </w:rPr>
      </w:pPr>
      <w:r>
        <w:rPr>
          <w:rFonts w:eastAsia="Times New Roman" w:cs="Arial" w:ascii="Arial" w:hAnsi="Arial"/>
          <w:strike/>
          <w:color w:val="auto"/>
          <w:sz w:val="20"/>
          <w:szCs w:val="20"/>
          <w:highlight w:val="yellow"/>
          <w:lang w:eastAsia="it-IT"/>
        </w:rPr>
      </w:r>
    </w:p>
    <w:p>
      <w:pPr>
        <w:pStyle w:val="Normal"/>
        <w:widowControl w:val="false"/>
        <w:overflowPunct w:val="true"/>
        <w:spacing w:lineRule="auto" w:line="240" w:before="12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Times New Roman"/>
          <w:color w:val="auto"/>
          <w:szCs w:val="22"/>
          <w:lang w:eastAsia="it-IT"/>
        </w:rPr>
      </w:pPr>
      <w:r>
        <w:rPr>
          <w:rFonts w:eastAsia="Times New Roman" w:cs="Times New Roman" w:ascii="Arial" w:hAnsi="Arial"/>
          <w:color w:val="auto"/>
          <w:szCs w:val="22"/>
          <w:lang w:eastAsia="it-IT"/>
        </w:rPr>
        <w:t>La movimentazione delle somme rimaste a residuo per recupero evasione è stata la seguente:</w:t>
      </w:r>
    </w:p>
    <w:p>
      <w:pPr>
        <w:pStyle w:val="Normal"/>
        <w:widowControl w:val="false"/>
        <w:overflowPunct w:val="true"/>
        <w:spacing w:lineRule="auto" w:line="240" w:before="0" w:after="120"/>
        <w:textAlignment w:val="baseline"/>
        <w:rPr>
          <w:rFonts w:ascii="Arial" w:hAnsi="Arial" w:eastAsia="Times New Roman" w:cs="Times New Roman"/>
          <w:color w:val="auto"/>
          <w:sz w:val="20"/>
          <w:szCs w:val="20"/>
          <w:lang w:eastAsia="it-IT"/>
        </w:rPr>
      </w:pPr>
      <w:r>
        <w:rPr>
          <w:rFonts w:eastAsia="Times New Roman" w:cs="Times New Roman" w:ascii="Arial" w:hAnsi="Arial"/>
          <w:color w:val="auto"/>
          <w:sz w:val="20"/>
          <w:szCs w:val="20"/>
          <w:lang w:eastAsia="it-IT"/>
        </w:rPr>
      </w:r>
    </w:p>
    <w:p>
      <w:pPr>
        <w:pStyle w:val="Normal"/>
        <w:widowControl w:val="false"/>
        <w:suppressAutoHyphens w:val="false"/>
        <w:overflowPunct w:val="false"/>
        <w:spacing w:lineRule="auto" w:line="240" w:before="0" w:after="120"/>
        <w:ind w:left="0" w:right="0" w:hanging="0"/>
        <w:jc w:val="both"/>
        <w:textAlignment w:val="baseline"/>
        <w:rPr>
          <w:rFonts w:ascii="Arial" w:hAnsi="Arial"/>
          <w:sz w:val="22"/>
          <w:szCs w:val="22"/>
        </w:rPr>
      </w:pPr>
      <w:r>
        <w:rPr>
          <w:rFonts w:cs="Arial" w:ascii="Arial" w:hAnsi="Arial"/>
          <w:color w:val="auto" w:themeColor="text1" w:themeTint="bf"/>
          <w:position w:val="0"/>
          <w:sz w:val="22"/>
          <w:sz w:val="22"/>
          <w:szCs w:val="22"/>
          <w:vertAlign w:val="baseline"/>
        </w:rPr>
        <w:t>Residui attivi al 1/1/2024:</w:t>
        <w:tab/>
        <w:tab/>
        <w:tab/>
        <w:t>€ 3.588.479,29</w:t>
      </w:r>
    </w:p>
    <w:p>
      <w:pPr>
        <w:pStyle w:val="Normal"/>
        <w:widowControl w:val="false"/>
        <w:suppressAutoHyphens w:val="false"/>
        <w:overflowPunct w:val="false"/>
        <w:spacing w:lineRule="auto" w:line="240" w:before="0" w:after="120"/>
        <w:ind w:left="0" w:right="0" w:hanging="0"/>
        <w:jc w:val="both"/>
        <w:textAlignment w:val="baseline"/>
        <w:rPr>
          <w:rFonts w:ascii="Arial" w:hAnsi="Arial"/>
          <w:sz w:val="22"/>
          <w:szCs w:val="22"/>
        </w:rPr>
      </w:pPr>
      <w:r>
        <w:rPr>
          <w:rFonts w:cs="Arial" w:ascii="Arial" w:hAnsi="Arial"/>
          <w:color w:val="auto" w:themeColor="text1" w:themeTint="bf"/>
          <w:position w:val="0"/>
          <w:sz w:val="22"/>
          <w:sz w:val="22"/>
          <w:szCs w:val="22"/>
          <w:vertAlign w:val="baseline"/>
        </w:rPr>
        <w:t>Residui eliminati o riaccertati:</w:t>
        <w:tab/>
        <w:t xml:space="preserve">           €    815.384,66</w:t>
      </w:r>
    </w:p>
    <w:p>
      <w:pPr>
        <w:pStyle w:val="Normal"/>
        <w:widowControl w:val="false"/>
        <w:suppressAutoHyphens w:val="false"/>
        <w:overflowPunct w:val="false"/>
        <w:spacing w:lineRule="auto" w:line="240" w:before="0" w:after="120"/>
        <w:ind w:left="0" w:right="0" w:hanging="0"/>
        <w:jc w:val="both"/>
        <w:textAlignment w:val="baseline"/>
        <w:rPr>
          <w:rFonts w:ascii="Arial" w:hAnsi="Arial"/>
          <w:sz w:val="22"/>
          <w:szCs w:val="22"/>
        </w:rPr>
      </w:pPr>
      <w:r>
        <w:rPr>
          <w:rFonts w:cs="Arial" w:ascii="Arial" w:hAnsi="Arial"/>
          <w:color w:val="auto" w:themeColor="text1" w:themeTint="bf"/>
          <w:position w:val="0"/>
          <w:sz w:val="22"/>
          <w:sz w:val="22"/>
          <w:szCs w:val="22"/>
          <w:vertAlign w:val="baseline"/>
        </w:rPr>
        <w:t>Residui riscossi nel 2024:</w:t>
        <w:tab/>
        <w:tab/>
        <w:tab/>
        <w:t>€ 1.033.132,27</w:t>
      </w:r>
    </w:p>
    <w:p>
      <w:pPr>
        <w:pStyle w:val="Normal"/>
        <w:widowControl w:val="false"/>
        <w:suppressAutoHyphens w:val="false"/>
        <w:overflowPunct w:val="false"/>
        <w:spacing w:lineRule="auto" w:line="240" w:before="0" w:after="120"/>
        <w:ind w:left="0" w:right="0" w:hanging="0"/>
        <w:jc w:val="both"/>
        <w:textAlignment w:val="baseline"/>
        <w:rPr>
          <w:rFonts w:ascii="Arial" w:hAnsi="Arial"/>
          <w:sz w:val="22"/>
          <w:szCs w:val="22"/>
        </w:rPr>
      </w:pPr>
      <w:r>
        <w:rPr>
          <w:rFonts w:eastAsia="Times New Roman" w:cs="Arial" w:ascii="Arial" w:hAnsi="Arial"/>
          <w:color w:val="auto" w:themeColor="text1" w:themeTint="bf"/>
          <w:position w:val="0"/>
          <w:sz w:val="22"/>
          <w:sz w:val="22"/>
          <w:szCs w:val="22"/>
          <w:vertAlign w:val="baseline"/>
          <w:lang w:eastAsia="it-IT"/>
        </w:rPr>
        <w:t>Residui al 31/12/2024:</w:t>
        <w:tab/>
        <w:tab/>
        <w:tab/>
        <w:t>€ 3.370.731,68</w:t>
      </w:r>
    </w:p>
    <w:p>
      <w:pPr>
        <w:pStyle w:val="Normal"/>
        <w:widowControl w:val="false"/>
        <w:suppressAutoHyphens w:val="false"/>
        <w:overflowPunct w:val="false"/>
        <w:spacing w:lineRule="auto" w:line="240" w:before="0" w:after="120"/>
        <w:ind w:left="0" w:right="0" w:hanging="0"/>
        <w:jc w:val="both"/>
        <w:textAlignment w:val="baseline"/>
        <w:rPr>
          <w:rFonts w:ascii="Arial" w:hAnsi="Arial"/>
          <w:sz w:val="22"/>
          <w:szCs w:val="22"/>
        </w:rPr>
      </w:pPr>
      <w:r>
        <w:rPr>
          <w:rFonts w:cs="Arial" w:ascii="Arial" w:hAnsi="Arial"/>
          <w:color w:val="auto" w:themeColor="text1" w:themeTint="bf"/>
          <w:position w:val="0"/>
          <w:sz w:val="22"/>
          <w:sz w:val="22"/>
          <w:szCs w:val="22"/>
          <w:vertAlign w:val="baseline"/>
        </w:rPr>
        <w:t>Residui della competenza:</w:t>
        <w:tab/>
        <w:tab/>
        <w:tab/>
        <w:t>€    684.989,01</w:t>
      </w:r>
    </w:p>
    <w:p>
      <w:pPr>
        <w:pStyle w:val="Normal"/>
        <w:widowControl w:val="false"/>
        <w:suppressAutoHyphens w:val="false"/>
        <w:overflowPunct w:val="false"/>
        <w:spacing w:lineRule="auto" w:line="240" w:before="0" w:after="120"/>
        <w:ind w:left="0" w:right="0" w:hanging="0"/>
        <w:jc w:val="both"/>
        <w:textAlignment w:val="baseline"/>
        <w:rPr>
          <w:rFonts w:ascii="Arial" w:hAnsi="Arial"/>
          <w:sz w:val="22"/>
          <w:szCs w:val="22"/>
        </w:rPr>
      </w:pPr>
      <w:r>
        <w:rPr>
          <w:rFonts w:cs="Arial" w:ascii="Arial" w:hAnsi="Arial"/>
          <w:color w:val="auto" w:themeColor="text1" w:themeTint="bf"/>
          <w:position w:val="0"/>
          <w:sz w:val="22"/>
          <w:sz w:val="22"/>
          <w:szCs w:val="22"/>
          <w:vertAlign w:val="baseline"/>
        </w:rPr>
        <w:t>Residui totali:</w:t>
        <w:tab/>
        <w:tab/>
        <w:tab/>
        <w:tab/>
        <w:tab/>
        <w:t>€</w:t>
      </w:r>
      <w:r>
        <w:rPr>
          <w:rFonts w:cs="Arial" w:ascii="Arial" w:hAnsi="Arial"/>
          <w:color w:val="auto" w:themeColor="text1" w:themeTint="bf"/>
          <w:sz w:val="22"/>
          <w:szCs w:val="22"/>
        </w:rPr>
        <w:t xml:space="preserve"> </w:t>
      </w:r>
      <w:r>
        <w:rPr>
          <w:rFonts w:cs="Arial" w:ascii="Arial" w:hAnsi="Arial"/>
          <w:color w:val="auto" w:themeColor="text1" w:themeTint="bf"/>
          <w:position w:val="0"/>
          <w:sz w:val="22"/>
          <w:sz w:val="22"/>
          <w:szCs w:val="22"/>
          <w:vertAlign w:val="baseline"/>
        </w:rPr>
        <w:t>4.055.720,69</w:t>
      </w:r>
    </w:p>
    <w:p>
      <w:pPr>
        <w:pStyle w:val="Normal"/>
        <w:widowControl w:val="false"/>
        <w:suppressAutoHyphens w:val="false"/>
        <w:overflowPunct w:val="false"/>
        <w:spacing w:lineRule="auto" w:line="240" w:before="0" w:after="120"/>
        <w:ind w:left="0" w:right="0" w:hanging="0"/>
        <w:jc w:val="both"/>
        <w:textAlignment w:val="baseline"/>
        <w:rPr>
          <w:rFonts w:eastAsia="Times New Roman" w:cs="Arial"/>
          <w:color w:val="auto" w:themeColor="text1" w:themeTint="bf"/>
          <w:position w:val="0"/>
          <w:sz w:val="21"/>
          <w:sz w:val="21"/>
          <w:vertAlign w:val="baseline"/>
          <w:lang w:eastAsia="it-IT"/>
        </w:rPr>
      </w:pPr>
      <w:r>
        <w:rPr>
          <w:rFonts w:eastAsia="Times New Roman" w:cs="Arial"/>
          <w:color w:val="auto" w:themeColor="text1" w:themeTint="bf"/>
          <w:position w:val="0"/>
          <w:sz w:val="21"/>
          <w:sz w:val="21"/>
          <w:vertAlign w:val="baseline"/>
          <w:lang w:eastAsia="it-IT"/>
        </w:rPr>
      </w:r>
    </w:p>
    <w:p>
      <w:pPr>
        <w:pStyle w:val="Normal"/>
        <w:widowControl w:val="false"/>
        <w:overflowPunct w:val="true"/>
        <w:spacing w:lineRule="auto" w:line="240" w:before="0" w:after="120"/>
        <w:jc w:val="center"/>
        <w:textAlignment w:val="baseline"/>
        <w:rPr>
          <w:rFonts w:ascii="Arial" w:hAnsi="Arial" w:eastAsia="Times New Roman" w:cs="Times New Roman"/>
          <w:color w:val="auto"/>
          <w:szCs w:val="22"/>
          <w:lang w:eastAsia="it-IT"/>
        </w:rPr>
      </w:pPr>
      <w:r>
        <w:rPr>
          <w:rFonts w:eastAsia="Times New Roman" w:cs="Times New Roman"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Times New Roman"/>
          <w:color w:val="auto"/>
          <w:szCs w:val="22"/>
          <w:lang w:eastAsia="it-IT"/>
        </w:rPr>
      </w:pPr>
      <w:r>
        <w:rPr>
          <w:rFonts w:eastAsia="Times New Roman" w:cs="Times New Roman" w:ascii="Arial" w:hAnsi="Arial"/>
          <w:color w:val="auto"/>
          <w:szCs w:val="22"/>
          <w:lang w:eastAsia="it-IT"/>
        </w:rPr>
      </w:r>
    </w:p>
    <w:p>
      <w:pPr>
        <w:pStyle w:val="Titolo3"/>
        <w:numPr>
          <w:ilvl w:val="2"/>
          <w:numId w:val="89"/>
        </w:numPr>
        <w:ind w:left="1484" w:hanging="633"/>
        <w:rPr/>
      </w:pPr>
      <w:bookmarkStart w:id="81" w:name="_Toc192666990"/>
      <w:bookmarkStart w:id="82" w:name="_Toc130056259"/>
      <w:r>
        <w:rPr/>
        <w:t>Spese</w:t>
      </w:r>
      <w:bookmarkEnd w:id="81"/>
      <w:bookmarkEnd w:id="82"/>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t>Attendibilità della previsione delle spese</w:t>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p>
      <w:pPr>
        <w:pStyle w:val="Normal"/>
        <w:widowControl w:val="false"/>
        <w:overflowPunct w:val="true"/>
        <w:spacing w:lineRule="auto" w:line="240" w:before="12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Per quanto riguarda il grado di attendibilità delle previsioni delle spese finali emerge che:</w:t>
      </w:r>
    </w:p>
    <w:p>
      <w:pPr>
        <w:pStyle w:val="Normal"/>
        <w:widowControl w:val="false"/>
        <w:overflowPunct w:val="true"/>
        <w:spacing w:lineRule="auto" w:line="240" w:before="12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12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12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12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12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12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tbl>
      <w:tblPr>
        <w:tblW w:w="9579" w:type="dxa"/>
        <w:jc w:val="left"/>
        <w:tblInd w:w="-30" w:type="dxa"/>
        <w:tblLayout w:type="fixed"/>
        <w:tblCellMar>
          <w:top w:w="0" w:type="dxa"/>
          <w:left w:w="30" w:type="dxa"/>
          <w:bottom w:w="0" w:type="dxa"/>
          <w:right w:w="30" w:type="dxa"/>
        </w:tblCellMar>
      </w:tblPr>
      <w:tblGrid>
        <w:gridCol w:w="1137"/>
        <w:gridCol w:w="545"/>
        <w:gridCol w:w="1700"/>
        <w:gridCol w:w="1699"/>
        <w:gridCol w:w="1602"/>
        <w:gridCol w:w="1600"/>
        <w:gridCol w:w="1295"/>
      </w:tblGrid>
      <w:tr>
        <w:trPr>
          <w:trHeight w:val="1104" w:hRule="atLeast"/>
        </w:trPr>
        <w:tc>
          <w:tcPr>
            <w:tcW w:w="1682" w:type="dxa"/>
            <w:gridSpan w:val="2"/>
            <w:vMerge w:val="restart"/>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Spese 2022</w:t>
            </w:r>
          </w:p>
        </w:tc>
        <w:tc>
          <w:tcPr>
            <w:tcW w:w="1700"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Previsioni iniziali</w:t>
            </w:r>
          </w:p>
        </w:tc>
        <w:tc>
          <w:tcPr>
            <w:tcW w:w="1699"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Previsioni definitive</w:t>
              <w:br/>
            </w:r>
          </w:p>
        </w:tc>
        <w:tc>
          <w:tcPr>
            <w:tcW w:w="1602"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Impegnate+ FPV</w:t>
              <w:br/>
            </w:r>
          </w:p>
        </w:tc>
        <w:tc>
          <w:tcPr>
            <w:tcW w:w="1600"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Impegnate /Previsioni iniziali</w:t>
              <w:br/>
              <w:t>%</w:t>
            </w:r>
          </w:p>
        </w:tc>
        <w:tc>
          <w:tcPr>
            <w:tcW w:w="1295"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 xml:space="preserve">Impegnate /Previsioni definitive </w:t>
              <w:br/>
              <w:t>%</w:t>
            </w:r>
          </w:p>
        </w:tc>
      </w:tr>
      <w:tr>
        <w:trPr>
          <w:trHeight w:val="316" w:hRule="atLeast"/>
        </w:trPr>
        <w:tc>
          <w:tcPr>
            <w:tcW w:w="1682" w:type="dxa"/>
            <w:gridSpan w:val="2"/>
            <w:vMerge w:val="continue"/>
            <w:tcBorders/>
            <w:vAlign w:val="center"/>
          </w:tcPr>
          <w:p>
            <w:pPr>
              <w:pStyle w:val="Normal"/>
              <w:widowControl w:val="false"/>
              <w:tabs>
                <w:tab w:val="clear" w:pos="708"/>
              </w:tabs>
              <w:spacing w:before="0" w:after="200"/>
              <w:jc w:val="center"/>
              <w:rPr>
                <w:b/>
                <w:b/>
              </w:rPr>
            </w:pPr>
            <w:r>
              <w:rPr>
                <w:b/>
              </w:rPr>
            </w:r>
          </w:p>
        </w:tc>
        <w:tc>
          <w:tcPr>
            <w:tcW w:w="1700"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(A)</w:t>
            </w:r>
          </w:p>
        </w:tc>
        <w:tc>
          <w:tcPr>
            <w:tcW w:w="1699"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(B)</w:t>
            </w:r>
          </w:p>
        </w:tc>
        <w:tc>
          <w:tcPr>
            <w:tcW w:w="1602"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(C)</w:t>
            </w:r>
          </w:p>
        </w:tc>
        <w:tc>
          <w:tcPr>
            <w:tcW w:w="1600"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(C/A*100)</w:t>
            </w:r>
          </w:p>
        </w:tc>
        <w:tc>
          <w:tcPr>
            <w:tcW w:w="1295"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(C/B*100)</w:t>
            </w:r>
          </w:p>
        </w:tc>
      </w:tr>
      <w:tr>
        <w:trPr>
          <w:trHeight w:val="288" w:hRule="atLeast"/>
        </w:trPr>
        <w:tc>
          <w:tcPr>
            <w:tcW w:w="1682" w:type="dxa"/>
            <w:gridSpan w:val="2"/>
            <w:tcBorders/>
            <w:vAlign w:val="center"/>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b/>
              </w:rPr>
              <w:t>Titolo 1</w:t>
            </w:r>
          </w:p>
        </w:tc>
        <w:tc>
          <w:tcPr>
            <w:tcW w:w="1700"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24.474.160,32</w:t>
            </w:r>
          </w:p>
        </w:tc>
        <w:tc>
          <w:tcPr>
            <w:tcW w:w="1699"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27.567.386,20</w:t>
            </w:r>
          </w:p>
        </w:tc>
        <w:tc>
          <w:tcPr>
            <w:tcW w:w="1602"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21.550.530,01</w:t>
            </w:r>
          </w:p>
        </w:tc>
        <w:tc>
          <w:tcPr>
            <w:tcW w:w="1600"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88,05</w:t>
            </w:r>
          </w:p>
        </w:tc>
        <w:tc>
          <w:tcPr>
            <w:tcW w:w="1295"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78,17</w:t>
            </w:r>
          </w:p>
        </w:tc>
      </w:tr>
      <w:tr>
        <w:trPr>
          <w:trHeight w:val="288" w:hRule="atLeast"/>
        </w:trPr>
        <w:tc>
          <w:tcPr>
            <w:tcW w:w="1682" w:type="dxa"/>
            <w:gridSpan w:val="2"/>
            <w:tcBorders/>
            <w:vAlign w:val="center"/>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b/>
              </w:rPr>
              <w:t>Titolo 2</w:t>
            </w:r>
          </w:p>
        </w:tc>
        <w:tc>
          <w:tcPr>
            <w:tcW w:w="1700"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6.600.563,11</w:t>
            </w:r>
          </w:p>
        </w:tc>
        <w:tc>
          <w:tcPr>
            <w:tcW w:w="1699"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14.103.302,28</w:t>
            </w:r>
          </w:p>
        </w:tc>
        <w:tc>
          <w:tcPr>
            <w:tcW w:w="1602"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4.919.175,75</w:t>
            </w:r>
          </w:p>
        </w:tc>
        <w:tc>
          <w:tcPr>
            <w:tcW w:w="1600"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74,53</w:t>
            </w:r>
          </w:p>
        </w:tc>
        <w:tc>
          <w:tcPr>
            <w:tcW w:w="1295"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34,88</w:t>
            </w:r>
          </w:p>
        </w:tc>
      </w:tr>
      <w:tr>
        <w:trPr>
          <w:trHeight w:val="288" w:hRule="atLeast"/>
        </w:trPr>
        <w:tc>
          <w:tcPr>
            <w:tcW w:w="1682" w:type="dxa"/>
            <w:gridSpan w:val="2"/>
            <w:tcBorders/>
            <w:vAlign w:val="center"/>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b/>
              </w:rPr>
              <w:t>Titolo 3</w:t>
            </w:r>
          </w:p>
        </w:tc>
        <w:tc>
          <w:tcPr>
            <w:tcW w:w="1700"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469.624,85</w:t>
            </w:r>
          </w:p>
        </w:tc>
        <w:tc>
          <w:tcPr>
            <w:tcW w:w="1699"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927.069,11</w:t>
            </w:r>
          </w:p>
        </w:tc>
        <w:tc>
          <w:tcPr>
            <w:tcW w:w="1602"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469.624,85</w:t>
            </w:r>
          </w:p>
        </w:tc>
        <w:tc>
          <w:tcPr>
            <w:tcW w:w="1600"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100,00</w:t>
            </w:r>
          </w:p>
        </w:tc>
        <w:tc>
          <w:tcPr>
            <w:tcW w:w="1295"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50,66</w:t>
            </w:r>
          </w:p>
        </w:tc>
      </w:tr>
      <w:tr>
        <w:trPr>
          <w:trHeight w:val="288" w:hRule="atLeast"/>
        </w:trPr>
        <w:tc>
          <w:tcPr>
            <w:tcW w:w="1682" w:type="dxa"/>
            <w:gridSpan w:val="2"/>
            <w:tcBorders/>
            <w:vAlign w:val="center"/>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b/>
              </w:rPr>
              <w:t>TOTALE</w:t>
            </w:r>
          </w:p>
        </w:tc>
        <w:tc>
          <w:tcPr>
            <w:tcW w:w="1700"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b/>
                <w:i/>
              </w:rPr>
              <w:t>31.544.348,28</w:t>
            </w:r>
          </w:p>
        </w:tc>
        <w:tc>
          <w:tcPr>
            <w:tcW w:w="1699"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b/>
                <w:i/>
              </w:rPr>
              <w:t>42.597.757,59</w:t>
            </w:r>
          </w:p>
        </w:tc>
        <w:tc>
          <w:tcPr>
            <w:tcW w:w="1602"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b/>
                <w:i/>
              </w:rPr>
              <w:t>26.939.330,61</w:t>
            </w:r>
          </w:p>
        </w:tc>
        <w:tc>
          <w:tcPr>
            <w:tcW w:w="1600"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b/>
                <w:i/>
              </w:rPr>
              <w:t>85,40</w:t>
            </w:r>
          </w:p>
        </w:tc>
        <w:tc>
          <w:tcPr>
            <w:tcW w:w="1295"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b/>
                <w:i/>
              </w:rPr>
              <w:t>63,24</w:t>
            </w:r>
          </w:p>
        </w:tc>
      </w:tr>
      <w:tr>
        <w:trPr>
          <w:trHeight w:val="288" w:hRule="atLeast"/>
        </w:trPr>
        <w:tc>
          <w:tcPr>
            <w:tcW w:w="1137" w:type="dxa"/>
            <w:tcBorders/>
            <w:vAlign w:val="bottom"/>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tc>
        <w:tc>
          <w:tcPr>
            <w:tcW w:w="545" w:type="dxa"/>
            <w:tcBorders/>
            <w:vAlign w:val="bottom"/>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tc>
        <w:tc>
          <w:tcPr>
            <w:tcW w:w="1700" w:type="dxa"/>
            <w:tcBorders/>
            <w:vAlign w:val="bottom"/>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tc>
        <w:tc>
          <w:tcPr>
            <w:tcW w:w="1699" w:type="dxa"/>
            <w:tcBorders/>
            <w:vAlign w:val="bottom"/>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tc>
        <w:tc>
          <w:tcPr>
            <w:tcW w:w="1602" w:type="dxa"/>
            <w:tcBorders/>
            <w:vAlign w:val="bottom"/>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tc>
        <w:tc>
          <w:tcPr>
            <w:tcW w:w="1600" w:type="dxa"/>
            <w:tcBorders/>
            <w:vAlign w:val="bottom"/>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tc>
        <w:tc>
          <w:tcPr>
            <w:tcW w:w="1295" w:type="dxa"/>
            <w:tcBorders/>
            <w:vAlign w:val="bottom"/>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tc>
      </w:tr>
      <w:tr>
        <w:trPr>
          <w:trHeight w:val="1104" w:hRule="atLeast"/>
        </w:trPr>
        <w:tc>
          <w:tcPr>
            <w:tcW w:w="1682" w:type="dxa"/>
            <w:gridSpan w:val="2"/>
            <w:vMerge w:val="restart"/>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Spese 2023</w:t>
            </w:r>
          </w:p>
        </w:tc>
        <w:tc>
          <w:tcPr>
            <w:tcW w:w="1700"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Previsioni iniziali</w:t>
            </w:r>
          </w:p>
        </w:tc>
        <w:tc>
          <w:tcPr>
            <w:tcW w:w="1699"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Previsioni definitive</w:t>
              <w:br/>
            </w:r>
          </w:p>
        </w:tc>
        <w:tc>
          <w:tcPr>
            <w:tcW w:w="1602"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Impegnate+ FPV</w:t>
              <w:br/>
            </w:r>
          </w:p>
        </w:tc>
        <w:tc>
          <w:tcPr>
            <w:tcW w:w="1600"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Impegnate /Previsioni iniziali</w:t>
              <w:br/>
              <w:t>%</w:t>
            </w:r>
          </w:p>
        </w:tc>
        <w:tc>
          <w:tcPr>
            <w:tcW w:w="1295"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 xml:space="preserve">Impegnate /Previsioni definitive </w:t>
              <w:br/>
              <w:t>%</w:t>
            </w:r>
          </w:p>
        </w:tc>
      </w:tr>
      <w:tr>
        <w:trPr>
          <w:trHeight w:val="288" w:hRule="atLeast"/>
        </w:trPr>
        <w:tc>
          <w:tcPr>
            <w:tcW w:w="1682" w:type="dxa"/>
            <w:gridSpan w:val="2"/>
            <w:vMerge w:val="continue"/>
            <w:tcBorders/>
            <w:vAlign w:val="center"/>
          </w:tcPr>
          <w:p>
            <w:pPr>
              <w:pStyle w:val="Normal"/>
              <w:widowControl w:val="false"/>
              <w:tabs>
                <w:tab w:val="clear" w:pos="708"/>
              </w:tabs>
              <w:spacing w:before="0" w:after="200"/>
              <w:jc w:val="center"/>
              <w:rPr>
                <w:b/>
                <w:b/>
              </w:rPr>
            </w:pPr>
            <w:r>
              <w:rPr>
                <w:b/>
              </w:rPr>
            </w:r>
          </w:p>
        </w:tc>
        <w:tc>
          <w:tcPr>
            <w:tcW w:w="1700"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(A)</w:t>
            </w:r>
          </w:p>
        </w:tc>
        <w:tc>
          <w:tcPr>
            <w:tcW w:w="1699"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(B)</w:t>
            </w:r>
          </w:p>
        </w:tc>
        <w:tc>
          <w:tcPr>
            <w:tcW w:w="1602"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(C)</w:t>
            </w:r>
          </w:p>
        </w:tc>
        <w:tc>
          <w:tcPr>
            <w:tcW w:w="1600"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(C/A*100)</w:t>
            </w:r>
          </w:p>
        </w:tc>
        <w:tc>
          <w:tcPr>
            <w:tcW w:w="1295"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(C/B*100)</w:t>
            </w:r>
          </w:p>
        </w:tc>
      </w:tr>
      <w:tr>
        <w:trPr>
          <w:trHeight w:val="288" w:hRule="atLeast"/>
        </w:trPr>
        <w:tc>
          <w:tcPr>
            <w:tcW w:w="1682" w:type="dxa"/>
            <w:gridSpan w:val="2"/>
            <w:tcBorders/>
            <w:vAlign w:val="center"/>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b/>
              </w:rPr>
              <w:t>Titolo 1</w:t>
            </w:r>
          </w:p>
        </w:tc>
        <w:tc>
          <w:tcPr>
            <w:tcW w:w="1700"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25.804.083,07</w:t>
            </w:r>
          </w:p>
        </w:tc>
        <w:tc>
          <w:tcPr>
            <w:tcW w:w="1699"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29.293.908,82</w:t>
            </w:r>
          </w:p>
        </w:tc>
        <w:tc>
          <w:tcPr>
            <w:tcW w:w="1602"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23.001.057,91</w:t>
            </w:r>
          </w:p>
        </w:tc>
        <w:tc>
          <w:tcPr>
            <w:tcW w:w="1600"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89,14</w:t>
            </w:r>
          </w:p>
        </w:tc>
        <w:tc>
          <w:tcPr>
            <w:tcW w:w="1295"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78,52</w:t>
            </w:r>
          </w:p>
        </w:tc>
      </w:tr>
      <w:tr>
        <w:trPr>
          <w:trHeight w:val="288" w:hRule="atLeast"/>
        </w:trPr>
        <w:tc>
          <w:tcPr>
            <w:tcW w:w="1682" w:type="dxa"/>
            <w:gridSpan w:val="2"/>
            <w:tcBorders/>
            <w:vAlign w:val="center"/>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b/>
              </w:rPr>
              <w:t>Titolo 2</w:t>
            </w:r>
          </w:p>
        </w:tc>
        <w:tc>
          <w:tcPr>
            <w:tcW w:w="1700"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7.350.490,67</w:t>
            </w:r>
          </w:p>
        </w:tc>
        <w:tc>
          <w:tcPr>
            <w:tcW w:w="1699"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10.114.279,25</w:t>
            </w:r>
          </w:p>
        </w:tc>
        <w:tc>
          <w:tcPr>
            <w:tcW w:w="1602"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5.153.279,69</w:t>
            </w:r>
          </w:p>
        </w:tc>
        <w:tc>
          <w:tcPr>
            <w:tcW w:w="1600"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70,11</w:t>
            </w:r>
          </w:p>
        </w:tc>
        <w:tc>
          <w:tcPr>
            <w:tcW w:w="1295"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50,95</w:t>
            </w:r>
          </w:p>
        </w:tc>
      </w:tr>
      <w:tr>
        <w:trPr>
          <w:trHeight w:val="288" w:hRule="atLeast"/>
        </w:trPr>
        <w:tc>
          <w:tcPr>
            <w:tcW w:w="1682" w:type="dxa"/>
            <w:gridSpan w:val="2"/>
            <w:tcBorders/>
            <w:vAlign w:val="center"/>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b/>
              </w:rPr>
              <w:t>Titolo 3</w:t>
            </w:r>
          </w:p>
        </w:tc>
        <w:tc>
          <w:tcPr>
            <w:tcW w:w="1700"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1.457.962,75</w:t>
            </w:r>
          </w:p>
        </w:tc>
        <w:tc>
          <w:tcPr>
            <w:tcW w:w="1699"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457.444,26</w:t>
            </w:r>
          </w:p>
        </w:tc>
        <w:tc>
          <w:tcPr>
            <w:tcW w:w="1602"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457.444,26</w:t>
            </w:r>
          </w:p>
        </w:tc>
        <w:tc>
          <w:tcPr>
            <w:tcW w:w="1600"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31,38</w:t>
            </w:r>
          </w:p>
        </w:tc>
        <w:tc>
          <w:tcPr>
            <w:tcW w:w="1295"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100,00</w:t>
            </w:r>
          </w:p>
        </w:tc>
      </w:tr>
      <w:tr>
        <w:trPr>
          <w:trHeight w:val="288" w:hRule="atLeast"/>
        </w:trPr>
        <w:tc>
          <w:tcPr>
            <w:tcW w:w="1682" w:type="dxa"/>
            <w:gridSpan w:val="2"/>
            <w:tcBorders/>
            <w:vAlign w:val="center"/>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b/>
              </w:rPr>
              <w:t>TOTALE</w:t>
            </w:r>
          </w:p>
        </w:tc>
        <w:tc>
          <w:tcPr>
            <w:tcW w:w="1700"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b/>
                <w:i/>
              </w:rPr>
              <w:t>34.612.536,49</w:t>
            </w:r>
          </w:p>
        </w:tc>
        <w:tc>
          <w:tcPr>
            <w:tcW w:w="1699"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b/>
                <w:i/>
              </w:rPr>
              <w:t>39.865.632,33</w:t>
            </w:r>
          </w:p>
        </w:tc>
        <w:tc>
          <w:tcPr>
            <w:tcW w:w="1602"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b/>
                <w:i/>
              </w:rPr>
              <w:t>28.611.781,86</w:t>
            </w:r>
          </w:p>
        </w:tc>
        <w:tc>
          <w:tcPr>
            <w:tcW w:w="1600"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b/>
                <w:i/>
              </w:rPr>
              <w:t>82,66</w:t>
            </w:r>
          </w:p>
        </w:tc>
        <w:tc>
          <w:tcPr>
            <w:tcW w:w="1295"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b/>
                <w:i/>
              </w:rPr>
              <w:t>71,77</w:t>
            </w:r>
          </w:p>
        </w:tc>
      </w:tr>
      <w:tr>
        <w:trPr>
          <w:trHeight w:val="288" w:hRule="atLeast"/>
        </w:trPr>
        <w:tc>
          <w:tcPr>
            <w:tcW w:w="1137" w:type="dxa"/>
            <w:tcBorders/>
            <w:vAlign w:val="bottom"/>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tc>
        <w:tc>
          <w:tcPr>
            <w:tcW w:w="545" w:type="dxa"/>
            <w:tcBorders/>
            <w:vAlign w:val="bottom"/>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tc>
        <w:tc>
          <w:tcPr>
            <w:tcW w:w="1700" w:type="dxa"/>
            <w:tcBorders/>
            <w:vAlign w:val="bottom"/>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tc>
        <w:tc>
          <w:tcPr>
            <w:tcW w:w="1699" w:type="dxa"/>
            <w:tcBorders/>
            <w:vAlign w:val="bottom"/>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tc>
        <w:tc>
          <w:tcPr>
            <w:tcW w:w="1602" w:type="dxa"/>
            <w:tcBorders/>
            <w:vAlign w:val="bottom"/>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tc>
        <w:tc>
          <w:tcPr>
            <w:tcW w:w="1600" w:type="dxa"/>
            <w:tcBorders/>
            <w:vAlign w:val="bottom"/>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tc>
        <w:tc>
          <w:tcPr>
            <w:tcW w:w="1295" w:type="dxa"/>
            <w:tcBorders/>
            <w:vAlign w:val="bottom"/>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tc>
      </w:tr>
      <w:tr>
        <w:trPr>
          <w:trHeight w:val="1104" w:hRule="atLeast"/>
        </w:trPr>
        <w:tc>
          <w:tcPr>
            <w:tcW w:w="1682" w:type="dxa"/>
            <w:gridSpan w:val="2"/>
            <w:vMerge w:val="restart"/>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Spese 2024</w:t>
            </w:r>
          </w:p>
        </w:tc>
        <w:tc>
          <w:tcPr>
            <w:tcW w:w="1700"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Previsioni iniziali</w:t>
            </w:r>
          </w:p>
        </w:tc>
        <w:tc>
          <w:tcPr>
            <w:tcW w:w="1699"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Previsioni definitive</w:t>
              <w:br/>
            </w:r>
          </w:p>
        </w:tc>
        <w:tc>
          <w:tcPr>
            <w:tcW w:w="1602"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Impegnate+ FPV</w:t>
              <w:br/>
            </w:r>
          </w:p>
        </w:tc>
        <w:tc>
          <w:tcPr>
            <w:tcW w:w="1600"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Impegnate /Previsioni iniziali</w:t>
              <w:br/>
              <w:t>%</w:t>
            </w:r>
          </w:p>
        </w:tc>
        <w:tc>
          <w:tcPr>
            <w:tcW w:w="1295"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 xml:space="preserve">Impegnate /Previsioni definitive </w:t>
              <w:br/>
              <w:t>%</w:t>
            </w:r>
          </w:p>
        </w:tc>
      </w:tr>
      <w:tr>
        <w:trPr>
          <w:trHeight w:val="288" w:hRule="atLeast"/>
        </w:trPr>
        <w:tc>
          <w:tcPr>
            <w:tcW w:w="1682" w:type="dxa"/>
            <w:gridSpan w:val="2"/>
            <w:vMerge w:val="continue"/>
            <w:tcBorders/>
            <w:vAlign w:val="center"/>
          </w:tcPr>
          <w:p>
            <w:pPr>
              <w:pStyle w:val="Normal"/>
              <w:widowControl w:val="false"/>
              <w:tabs>
                <w:tab w:val="clear" w:pos="708"/>
              </w:tabs>
              <w:spacing w:before="0" w:after="200"/>
              <w:jc w:val="center"/>
              <w:rPr>
                <w:b/>
                <w:b/>
              </w:rPr>
            </w:pPr>
            <w:r>
              <w:rPr>
                <w:b/>
              </w:rPr>
            </w:r>
          </w:p>
        </w:tc>
        <w:tc>
          <w:tcPr>
            <w:tcW w:w="1700"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(A)</w:t>
            </w:r>
          </w:p>
        </w:tc>
        <w:tc>
          <w:tcPr>
            <w:tcW w:w="1699"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(B)</w:t>
            </w:r>
          </w:p>
        </w:tc>
        <w:tc>
          <w:tcPr>
            <w:tcW w:w="1602"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(C)</w:t>
            </w:r>
          </w:p>
        </w:tc>
        <w:tc>
          <w:tcPr>
            <w:tcW w:w="1600"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(C/A*100)</w:t>
            </w:r>
          </w:p>
        </w:tc>
        <w:tc>
          <w:tcPr>
            <w:tcW w:w="1295" w:type="dxa"/>
            <w:tcBorders/>
            <w:vAlign w:val="center"/>
          </w:tcPr>
          <w:p>
            <w:pPr>
              <w:pStyle w:val="Normal"/>
              <w:widowControl w:val="false"/>
              <w:tabs>
                <w:tab w:val="clear" w:pos="708"/>
              </w:tabs>
              <w:spacing w:before="0" w:after="200"/>
              <w:jc w:val="center"/>
              <w:rPr>
                <w:rFonts w:ascii="Arial" w:hAnsi="Arial" w:eastAsia="Times New Roman" w:cs="Arial"/>
                <w:b/>
                <w:b/>
                <w:color w:val="auto"/>
                <w:sz w:val="24"/>
                <w:szCs w:val="24"/>
                <w:u w:val="single"/>
                <w:lang w:eastAsia="it-IT"/>
              </w:rPr>
            </w:pPr>
            <w:r>
              <w:rPr>
                <w:b/>
              </w:rPr>
              <w:t>(C/B*100)</w:t>
            </w:r>
          </w:p>
        </w:tc>
      </w:tr>
      <w:tr>
        <w:trPr>
          <w:trHeight w:val="288" w:hRule="atLeast"/>
        </w:trPr>
        <w:tc>
          <w:tcPr>
            <w:tcW w:w="1682" w:type="dxa"/>
            <w:gridSpan w:val="2"/>
            <w:tcBorders/>
            <w:vAlign w:val="center"/>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b/>
              </w:rPr>
              <w:t>Titolo 1</w:t>
            </w:r>
          </w:p>
        </w:tc>
        <w:tc>
          <w:tcPr>
            <w:tcW w:w="1700"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26.098.654,52</w:t>
            </w:r>
          </w:p>
        </w:tc>
        <w:tc>
          <w:tcPr>
            <w:tcW w:w="1699"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28.604.965,59</w:t>
            </w:r>
          </w:p>
        </w:tc>
        <w:tc>
          <w:tcPr>
            <w:tcW w:w="1602"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22.528.288,34</w:t>
            </w:r>
          </w:p>
        </w:tc>
        <w:tc>
          <w:tcPr>
            <w:tcW w:w="1600"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86,32</w:t>
            </w:r>
          </w:p>
        </w:tc>
        <w:tc>
          <w:tcPr>
            <w:tcW w:w="1295"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78,76</w:t>
            </w:r>
          </w:p>
        </w:tc>
      </w:tr>
      <w:tr>
        <w:trPr>
          <w:trHeight w:val="288" w:hRule="atLeast"/>
        </w:trPr>
        <w:tc>
          <w:tcPr>
            <w:tcW w:w="1682" w:type="dxa"/>
            <w:gridSpan w:val="2"/>
            <w:tcBorders/>
            <w:vAlign w:val="center"/>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b/>
              </w:rPr>
              <w:t>Titolo 2</w:t>
            </w:r>
          </w:p>
        </w:tc>
        <w:tc>
          <w:tcPr>
            <w:tcW w:w="1700"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7.357.549,73</w:t>
            </w:r>
          </w:p>
        </w:tc>
        <w:tc>
          <w:tcPr>
            <w:tcW w:w="1699"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14.153.292,48</w:t>
            </w:r>
          </w:p>
        </w:tc>
        <w:tc>
          <w:tcPr>
            <w:tcW w:w="1602"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5.332.717,25</w:t>
            </w:r>
          </w:p>
        </w:tc>
        <w:tc>
          <w:tcPr>
            <w:tcW w:w="1600"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72,48</w:t>
            </w:r>
          </w:p>
        </w:tc>
        <w:tc>
          <w:tcPr>
            <w:tcW w:w="1295"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37,68</w:t>
            </w:r>
          </w:p>
        </w:tc>
      </w:tr>
      <w:tr>
        <w:trPr>
          <w:trHeight w:val="288" w:hRule="atLeast"/>
        </w:trPr>
        <w:tc>
          <w:tcPr>
            <w:tcW w:w="1682" w:type="dxa"/>
            <w:gridSpan w:val="2"/>
            <w:tcBorders/>
            <w:vAlign w:val="center"/>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b/>
              </w:rPr>
              <w:t>Titolo 3</w:t>
            </w:r>
          </w:p>
        </w:tc>
        <w:tc>
          <w:tcPr>
            <w:tcW w:w="1700"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1.000.518,49</w:t>
            </w:r>
          </w:p>
        </w:tc>
        <w:tc>
          <w:tcPr>
            <w:tcW w:w="1699" w:type="dxa"/>
            <w:tcBorders/>
            <w:vAlign w:val="bottom"/>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1.000.518,49</w:t>
            </w:r>
          </w:p>
        </w:tc>
        <w:tc>
          <w:tcPr>
            <w:tcW w:w="1602"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0,00</w:t>
            </w:r>
          </w:p>
        </w:tc>
        <w:tc>
          <w:tcPr>
            <w:tcW w:w="1600"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0,00</w:t>
            </w:r>
          </w:p>
        </w:tc>
        <w:tc>
          <w:tcPr>
            <w:tcW w:w="1295"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t>0,00</w:t>
            </w:r>
          </w:p>
        </w:tc>
      </w:tr>
      <w:tr>
        <w:trPr>
          <w:trHeight w:val="288" w:hRule="atLeast"/>
        </w:trPr>
        <w:tc>
          <w:tcPr>
            <w:tcW w:w="1682" w:type="dxa"/>
            <w:gridSpan w:val="2"/>
            <w:tcBorders/>
            <w:vAlign w:val="center"/>
          </w:tcPr>
          <w:p>
            <w:pPr>
              <w:pStyle w:val="Normal"/>
              <w:widowControl w:val="false"/>
              <w:tabs>
                <w:tab w:val="clear" w:pos="708"/>
              </w:tabs>
              <w:spacing w:before="0" w:after="200"/>
              <w:jc w:val="left"/>
              <w:rPr>
                <w:rFonts w:ascii="Arial" w:hAnsi="Arial" w:eastAsia="Times New Roman" w:cs="Arial"/>
                <w:b/>
                <w:b/>
                <w:color w:val="auto"/>
                <w:sz w:val="24"/>
                <w:szCs w:val="24"/>
                <w:u w:val="single"/>
                <w:lang w:eastAsia="it-IT"/>
              </w:rPr>
            </w:pPr>
            <w:r>
              <w:rPr>
                <w:b/>
              </w:rPr>
              <w:t>TOTALE</w:t>
            </w:r>
          </w:p>
        </w:tc>
        <w:tc>
          <w:tcPr>
            <w:tcW w:w="1700"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b/>
                <w:i/>
              </w:rPr>
              <w:t>34.456.722,74</w:t>
            </w:r>
          </w:p>
        </w:tc>
        <w:tc>
          <w:tcPr>
            <w:tcW w:w="1699"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b/>
                <w:i/>
              </w:rPr>
              <w:t>43.758.776,56</w:t>
            </w:r>
          </w:p>
        </w:tc>
        <w:tc>
          <w:tcPr>
            <w:tcW w:w="1602"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b/>
                <w:i/>
              </w:rPr>
              <w:t>27.861.005,59</w:t>
            </w:r>
          </w:p>
        </w:tc>
        <w:tc>
          <w:tcPr>
            <w:tcW w:w="1600"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b/>
                <w:i/>
              </w:rPr>
              <w:t>80,86</w:t>
            </w:r>
          </w:p>
        </w:tc>
        <w:tc>
          <w:tcPr>
            <w:tcW w:w="1295" w:type="dxa"/>
            <w:tcBorders/>
            <w:vAlign w:val="center"/>
          </w:tcPr>
          <w:p>
            <w:pPr>
              <w:pStyle w:val="Normal"/>
              <w:widowControl w:val="false"/>
              <w:tabs>
                <w:tab w:val="clear" w:pos="708"/>
              </w:tabs>
              <w:spacing w:before="0" w:after="200"/>
              <w:jc w:val="right"/>
              <w:rPr>
                <w:rFonts w:ascii="Arial" w:hAnsi="Arial" w:eastAsia="Times New Roman" w:cs="Arial"/>
                <w:b/>
                <w:b/>
                <w:color w:val="auto"/>
                <w:sz w:val="24"/>
                <w:szCs w:val="24"/>
                <w:u w:val="single"/>
                <w:lang w:eastAsia="it-IT"/>
              </w:rPr>
            </w:pPr>
            <w:r>
              <w:rPr>
                <w:b/>
                <w:i/>
              </w:rPr>
              <w:t>63,67</w:t>
            </w:r>
          </w:p>
        </w:tc>
      </w:tr>
    </w:tbl>
    <w:p>
      <w:pPr>
        <w:pStyle w:val="Normal"/>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t>Spese correnti</w:t>
      </w:r>
    </w:p>
    <w:p>
      <w:pPr>
        <w:pStyle w:val="Normal"/>
        <w:widowControl w:val="false"/>
        <w:numPr>
          <w:ilvl w:val="0"/>
          <w:numId w:val="0"/>
        </w:numPr>
        <w:overflowPunct w:val="true"/>
        <w:spacing w:lineRule="auto" w:line="240" w:before="0" w:after="24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La comparazione delle spese correnti, riclassificate per macro aggregati, impegnate negli ultimi due esercizi evidenzia:</w:t>
      </w:r>
    </w:p>
    <w:p>
      <w:pPr>
        <w:pStyle w:val="Normal"/>
        <w:widowControl w:val="false"/>
        <w:overflowPunct w:val="true"/>
        <w:spacing w:lineRule="auto" w:line="240" w:before="0" w:after="120"/>
        <w:jc w:val="center"/>
        <w:textAlignment w:val="baseline"/>
        <w:rPr>
          <w:rFonts w:ascii="Arial" w:hAnsi="Arial" w:eastAsia="Times New Roman" w:cs="Arial"/>
          <w:b/>
          <w:b/>
          <w:color w:val="auto"/>
          <w:szCs w:val="22"/>
          <w:lang w:eastAsia="it-IT"/>
        </w:rPr>
      </w:pPr>
      <w:r>
        <w:rPr>
          <w:rFonts w:eastAsia="Times New Roman" w:cs="Arial" w:ascii="Arial" w:hAnsi="Arial"/>
          <w:b/>
          <w:color w:val="auto"/>
          <w:szCs w:val="22"/>
          <w:lang w:eastAsia="it-IT"/>
        </w:rPr>
      </w:r>
    </w:p>
    <w:tbl>
      <w:tblPr>
        <w:tblW w:w="9720" w:type="dxa"/>
        <w:jc w:val="left"/>
        <w:tblInd w:w="-2" w:type="dxa"/>
        <w:tblLayout w:type="fixed"/>
        <w:tblCellMar>
          <w:top w:w="0" w:type="dxa"/>
          <w:left w:w="28" w:type="dxa"/>
          <w:bottom w:w="0" w:type="dxa"/>
          <w:right w:w="28" w:type="dxa"/>
        </w:tblCellMar>
      </w:tblPr>
      <w:tblGrid>
        <w:gridCol w:w="4214"/>
        <w:gridCol w:w="2066"/>
        <w:gridCol w:w="1946"/>
        <w:gridCol w:w="1493"/>
      </w:tblGrid>
      <w:tr>
        <w:trPr>
          <w:trHeight w:val="316" w:hRule="atLeast"/>
        </w:trPr>
        <w:tc>
          <w:tcPr>
            <w:tcW w:w="4214"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center"/>
              <w:rPr>
                <w:rFonts w:ascii="Arial" w:hAnsi="Arial"/>
                <w:color w:val="auto"/>
              </w:rPr>
            </w:pPr>
            <w:r>
              <w:rPr>
                <w:rFonts w:ascii="Arial" w:hAnsi="Arial"/>
                <w:b/>
                <w:color w:val="auto"/>
              </w:rPr>
              <w:t>Macroaggregato</w:t>
            </w:r>
          </w:p>
        </w:tc>
        <w:tc>
          <w:tcPr>
            <w:tcW w:w="2066"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center"/>
              <w:rPr>
                <w:rFonts w:ascii="Arial" w:hAnsi="Arial"/>
                <w:color w:val="auto"/>
              </w:rPr>
            </w:pPr>
            <w:r>
              <w:rPr>
                <w:rFonts w:ascii="Arial" w:hAnsi="Arial"/>
                <w:b/>
                <w:color w:val="auto"/>
              </w:rPr>
              <w:t>2023</w:t>
            </w:r>
          </w:p>
        </w:tc>
        <w:tc>
          <w:tcPr>
            <w:tcW w:w="1946"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center"/>
              <w:rPr>
                <w:rFonts w:ascii="Arial" w:hAnsi="Arial"/>
                <w:color w:val="auto"/>
              </w:rPr>
            </w:pPr>
            <w:r>
              <w:rPr>
                <w:rFonts w:ascii="Arial" w:hAnsi="Arial"/>
                <w:b/>
                <w:color w:val="auto"/>
              </w:rPr>
              <w:t>2024</w:t>
            </w:r>
          </w:p>
        </w:tc>
        <w:tc>
          <w:tcPr>
            <w:tcW w:w="1493"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center"/>
              <w:rPr>
                <w:rFonts w:ascii="Arial" w:hAnsi="Arial"/>
                <w:color w:val="auto"/>
              </w:rPr>
            </w:pPr>
            <w:r>
              <w:rPr>
                <w:rFonts w:ascii="Arial" w:hAnsi="Arial"/>
                <w:b/>
                <w:color w:val="auto"/>
              </w:rPr>
              <w:t>differenza</w:t>
            </w:r>
          </w:p>
        </w:tc>
      </w:tr>
      <w:tr>
        <w:trPr>
          <w:trHeight w:val="316" w:hRule="atLeast"/>
        </w:trPr>
        <w:tc>
          <w:tcPr>
            <w:tcW w:w="4214" w:type="dxa"/>
            <w:tcBorders>
              <w:left w:val="single" w:sz="2" w:space="0" w:color="000000"/>
              <w:bottom w:val="single" w:sz="2" w:space="0" w:color="000000"/>
            </w:tcBorders>
            <w:vAlign w:val="center"/>
          </w:tcPr>
          <w:p>
            <w:pPr>
              <w:pStyle w:val="Normal"/>
              <w:widowControl w:val="false"/>
              <w:tabs>
                <w:tab w:val="clear" w:pos="708"/>
              </w:tabs>
              <w:spacing w:before="0" w:after="200"/>
              <w:jc w:val="left"/>
              <w:rPr>
                <w:rFonts w:ascii="Arial" w:hAnsi="Arial"/>
                <w:color w:val="auto"/>
                <w:sz w:val="22"/>
                <w:szCs w:val="22"/>
              </w:rPr>
            </w:pPr>
            <w:r>
              <w:rPr>
                <w:rFonts w:ascii="Arial" w:hAnsi="Arial"/>
                <w:color w:val="auto"/>
                <w:sz w:val="22"/>
                <w:szCs w:val="22"/>
              </w:rPr>
              <w:t>101 redditi da lavoro dipendente</w:t>
            </w:r>
          </w:p>
        </w:tc>
        <w:tc>
          <w:tcPr>
            <w:tcW w:w="2066"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 </w:t>
            </w:r>
            <w:r>
              <w:rPr>
                <w:rFonts w:ascii="Arial" w:hAnsi="Arial"/>
                <w:color w:val="auto"/>
                <w:sz w:val="22"/>
                <w:szCs w:val="22"/>
              </w:rPr>
              <w:t>4.353.191,58</w:t>
            </w:r>
          </w:p>
        </w:tc>
        <w:tc>
          <w:tcPr>
            <w:tcW w:w="1946"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w:t>
            </w:r>
            <w:r>
              <w:rPr>
                <w:rFonts w:ascii="Arial" w:hAnsi="Arial"/>
                <w:color w:val="auto"/>
                <w:sz w:val="22"/>
                <w:szCs w:val="22"/>
              </w:rPr>
              <w:t>4.264.567,39</w:t>
            </w:r>
          </w:p>
        </w:tc>
        <w:tc>
          <w:tcPr>
            <w:tcW w:w="1493"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88.624,19</w:t>
            </w:r>
          </w:p>
        </w:tc>
      </w:tr>
      <w:tr>
        <w:trPr>
          <w:trHeight w:val="316" w:hRule="atLeast"/>
        </w:trPr>
        <w:tc>
          <w:tcPr>
            <w:tcW w:w="4214"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color w:val="auto"/>
                <w:sz w:val="22"/>
                <w:szCs w:val="22"/>
              </w:rPr>
            </w:pPr>
            <w:r>
              <w:rPr>
                <w:rFonts w:ascii="Arial" w:hAnsi="Arial"/>
                <w:color w:val="auto"/>
                <w:sz w:val="22"/>
                <w:szCs w:val="22"/>
              </w:rPr>
              <w:t>102 imposte e tasse a carico ente</w:t>
            </w:r>
          </w:p>
        </w:tc>
        <w:tc>
          <w:tcPr>
            <w:tcW w:w="206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 </w:t>
            </w:r>
            <w:r>
              <w:rPr>
                <w:rFonts w:ascii="Arial" w:hAnsi="Arial"/>
                <w:color w:val="auto"/>
                <w:sz w:val="22"/>
                <w:szCs w:val="22"/>
              </w:rPr>
              <w:t>248.259,80</w:t>
            </w:r>
          </w:p>
        </w:tc>
        <w:tc>
          <w:tcPr>
            <w:tcW w:w="194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w:t>
            </w:r>
            <w:r>
              <w:rPr>
                <w:rFonts w:ascii="Arial" w:hAnsi="Arial"/>
                <w:color w:val="auto"/>
                <w:sz w:val="22"/>
                <w:szCs w:val="22"/>
              </w:rPr>
              <w:t>254.561,72</w:t>
            </w:r>
          </w:p>
        </w:tc>
        <w:tc>
          <w:tcPr>
            <w:tcW w:w="1493"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-6.301,92</w:t>
            </w:r>
          </w:p>
        </w:tc>
      </w:tr>
      <w:tr>
        <w:trPr>
          <w:trHeight w:val="316" w:hRule="atLeast"/>
        </w:trPr>
        <w:tc>
          <w:tcPr>
            <w:tcW w:w="4214"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color w:val="auto"/>
                <w:sz w:val="22"/>
                <w:szCs w:val="22"/>
              </w:rPr>
            </w:pPr>
            <w:r>
              <w:rPr>
                <w:rFonts w:ascii="Arial" w:hAnsi="Arial"/>
                <w:color w:val="auto"/>
                <w:sz w:val="22"/>
                <w:szCs w:val="22"/>
              </w:rPr>
              <w:t>103 acquisto beni e servizi</w:t>
            </w:r>
          </w:p>
        </w:tc>
        <w:tc>
          <w:tcPr>
            <w:tcW w:w="206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 </w:t>
            </w:r>
            <w:r>
              <w:rPr>
                <w:rFonts w:ascii="Arial" w:hAnsi="Arial"/>
                <w:color w:val="auto"/>
                <w:sz w:val="22"/>
                <w:szCs w:val="22"/>
              </w:rPr>
              <w:t>14.818.692,81</w:t>
            </w:r>
          </w:p>
        </w:tc>
        <w:tc>
          <w:tcPr>
            <w:tcW w:w="194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w:t>
            </w:r>
            <w:r>
              <w:rPr>
                <w:rFonts w:ascii="Arial" w:hAnsi="Arial"/>
                <w:color w:val="auto"/>
                <w:sz w:val="22"/>
                <w:szCs w:val="22"/>
              </w:rPr>
              <w:t>15.798.119,00</w:t>
            </w:r>
          </w:p>
        </w:tc>
        <w:tc>
          <w:tcPr>
            <w:tcW w:w="1493"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-979.426,19</w:t>
            </w:r>
          </w:p>
        </w:tc>
      </w:tr>
      <w:tr>
        <w:trPr>
          <w:trHeight w:val="316" w:hRule="atLeast"/>
        </w:trPr>
        <w:tc>
          <w:tcPr>
            <w:tcW w:w="4214"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color w:val="auto"/>
                <w:sz w:val="22"/>
                <w:szCs w:val="22"/>
              </w:rPr>
            </w:pPr>
            <w:r>
              <w:rPr>
                <w:rFonts w:ascii="Arial" w:hAnsi="Arial"/>
                <w:color w:val="auto"/>
                <w:sz w:val="22"/>
                <w:szCs w:val="22"/>
              </w:rPr>
              <w:t>104 trasferimenti correnti</w:t>
            </w:r>
          </w:p>
        </w:tc>
        <w:tc>
          <w:tcPr>
            <w:tcW w:w="206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 </w:t>
            </w:r>
            <w:r>
              <w:rPr>
                <w:rFonts w:ascii="Arial" w:hAnsi="Arial"/>
                <w:color w:val="auto"/>
                <w:sz w:val="22"/>
                <w:szCs w:val="22"/>
              </w:rPr>
              <w:t>693.952,83</w:t>
            </w:r>
          </w:p>
        </w:tc>
        <w:tc>
          <w:tcPr>
            <w:tcW w:w="194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w:t>
            </w:r>
            <w:r>
              <w:rPr>
                <w:rFonts w:ascii="Arial" w:hAnsi="Arial"/>
                <w:color w:val="auto"/>
                <w:sz w:val="22"/>
                <w:szCs w:val="22"/>
              </w:rPr>
              <w:t>773.349,19</w:t>
            </w:r>
          </w:p>
        </w:tc>
        <w:tc>
          <w:tcPr>
            <w:tcW w:w="1493"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-79.396,36</w:t>
            </w:r>
          </w:p>
        </w:tc>
      </w:tr>
      <w:tr>
        <w:trPr>
          <w:trHeight w:val="316" w:hRule="atLeast"/>
        </w:trPr>
        <w:tc>
          <w:tcPr>
            <w:tcW w:w="4214"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color w:val="auto"/>
                <w:sz w:val="22"/>
                <w:szCs w:val="22"/>
              </w:rPr>
            </w:pPr>
            <w:r>
              <w:rPr>
                <w:rFonts w:ascii="Arial" w:hAnsi="Arial"/>
                <w:color w:val="auto"/>
                <w:sz w:val="22"/>
                <w:szCs w:val="22"/>
              </w:rPr>
              <w:t>105 trasferimenti di tributi</w:t>
            </w:r>
          </w:p>
        </w:tc>
        <w:tc>
          <w:tcPr>
            <w:tcW w:w="206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w:t>
            </w:r>
            <w:r>
              <w:rPr>
                <w:rFonts w:ascii="Arial" w:hAnsi="Arial"/>
                <w:color w:val="auto"/>
                <w:sz w:val="22"/>
                <w:szCs w:val="22"/>
              </w:rPr>
              <w:t>0,00</w:t>
            </w:r>
          </w:p>
        </w:tc>
        <w:tc>
          <w:tcPr>
            <w:tcW w:w="194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w:t>
            </w:r>
            <w:r>
              <w:rPr>
                <w:rFonts w:ascii="Arial" w:hAnsi="Arial"/>
                <w:color w:val="auto"/>
                <w:sz w:val="22"/>
                <w:szCs w:val="22"/>
              </w:rPr>
              <w:t>0,00</w:t>
            </w:r>
          </w:p>
        </w:tc>
        <w:tc>
          <w:tcPr>
            <w:tcW w:w="1493"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0,00</w:t>
            </w:r>
          </w:p>
        </w:tc>
      </w:tr>
      <w:tr>
        <w:trPr>
          <w:trHeight w:val="316" w:hRule="atLeast"/>
        </w:trPr>
        <w:tc>
          <w:tcPr>
            <w:tcW w:w="4214"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color w:val="auto"/>
                <w:sz w:val="22"/>
                <w:szCs w:val="22"/>
              </w:rPr>
            </w:pPr>
            <w:r>
              <w:rPr>
                <w:rFonts w:ascii="Arial" w:hAnsi="Arial"/>
                <w:color w:val="auto"/>
                <w:sz w:val="22"/>
                <w:szCs w:val="22"/>
              </w:rPr>
              <w:t>106 fondi perequativi</w:t>
            </w:r>
          </w:p>
        </w:tc>
        <w:tc>
          <w:tcPr>
            <w:tcW w:w="206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w:t>
            </w:r>
            <w:r>
              <w:rPr>
                <w:rFonts w:ascii="Arial" w:hAnsi="Arial"/>
                <w:color w:val="auto"/>
                <w:sz w:val="22"/>
                <w:szCs w:val="22"/>
              </w:rPr>
              <w:t>0,00</w:t>
            </w:r>
          </w:p>
        </w:tc>
        <w:tc>
          <w:tcPr>
            <w:tcW w:w="194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w:t>
            </w:r>
            <w:r>
              <w:rPr>
                <w:rFonts w:ascii="Arial" w:hAnsi="Arial"/>
                <w:color w:val="auto"/>
                <w:sz w:val="22"/>
                <w:szCs w:val="22"/>
              </w:rPr>
              <w:t>0,00</w:t>
            </w:r>
          </w:p>
        </w:tc>
        <w:tc>
          <w:tcPr>
            <w:tcW w:w="1493"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0,00</w:t>
            </w:r>
          </w:p>
        </w:tc>
      </w:tr>
      <w:tr>
        <w:trPr>
          <w:trHeight w:val="316" w:hRule="atLeast"/>
        </w:trPr>
        <w:tc>
          <w:tcPr>
            <w:tcW w:w="4214"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color w:val="auto"/>
                <w:sz w:val="22"/>
                <w:szCs w:val="22"/>
              </w:rPr>
            </w:pPr>
            <w:r>
              <w:rPr>
                <w:rFonts w:ascii="Arial" w:hAnsi="Arial"/>
                <w:color w:val="auto"/>
                <w:sz w:val="22"/>
                <w:szCs w:val="22"/>
              </w:rPr>
              <w:t>107 interessi passivi</w:t>
            </w:r>
          </w:p>
        </w:tc>
        <w:tc>
          <w:tcPr>
            <w:tcW w:w="206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 </w:t>
            </w:r>
            <w:r>
              <w:rPr>
                <w:rFonts w:ascii="Arial" w:hAnsi="Arial"/>
                <w:color w:val="auto"/>
                <w:sz w:val="22"/>
                <w:szCs w:val="22"/>
              </w:rPr>
              <w:t>279.247,02</w:t>
            </w:r>
          </w:p>
        </w:tc>
        <w:tc>
          <w:tcPr>
            <w:tcW w:w="194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w:t>
            </w:r>
            <w:r>
              <w:rPr>
                <w:rFonts w:ascii="Arial" w:hAnsi="Arial"/>
                <w:color w:val="auto"/>
                <w:sz w:val="22"/>
                <w:szCs w:val="22"/>
              </w:rPr>
              <w:t>282.964,82</w:t>
            </w:r>
          </w:p>
        </w:tc>
        <w:tc>
          <w:tcPr>
            <w:tcW w:w="1493"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-3.717,8</w:t>
            </w:r>
          </w:p>
        </w:tc>
      </w:tr>
      <w:tr>
        <w:trPr>
          <w:trHeight w:val="316" w:hRule="atLeast"/>
        </w:trPr>
        <w:tc>
          <w:tcPr>
            <w:tcW w:w="4214"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color w:val="auto"/>
                <w:sz w:val="22"/>
                <w:szCs w:val="22"/>
              </w:rPr>
            </w:pPr>
            <w:r>
              <w:rPr>
                <w:rFonts w:ascii="Arial" w:hAnsi="Arial"/>
                <w:color w:val="auto"/>
                <w:sz w:val="22"/>
                <w:szCs w:val="22"/>
              </w:rPr>
              <w:t>108 altre spese per redditi di capitale</w:t>
            </w:r>
          </w:p>
        </w:tc>
        <w:tc>
          <w:tcPr>
            <w:tcW w:w="206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w:t>
            </w:r>
            <w:r>
              <w:rPr>
                <w:rFonts w:ascii="Arial" w:hAnsi="Arial"/>
                <w:color w:val="auto"/>
                <w:sz w:val="22"/>
                <w:szCs w:val="22"/>
              </w:rPr>
              <w:t>0,00</w:t>
            </w:r>
          </w:p>
        </w:tc>
        <w:tc>
          <w:tcPr>
            <w:tcW w:w="194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w:t>
            </w:r>
            <w:r>
              <w:rPr>
                <w:rFonts w:ascii="Arial" w:hAnsi="Arial"/>
                <w:color w:val="auto"/>
                <w:sz w:val="22"/>
                <w:szCs w:val="22"/>
              </w:rPr>
              <w:t>0,00</w:t>
            </w:r>
          </w:p>
        </w:tc>
        <w:tc>
          <w:tcPr>
            <w:tcW w:w="1493"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0,00</w:t>
            </w:r>
          </w:p>
        </w:tc>
      </w:tr>
      <w:tr>
        <w:trPr>
          <w:trHeight w:val="316" w:hRule="atLeast"/>
        </w:trPr>
        <w:tc>
          <w:tcPr>
            <w:tcW w:w="4214"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color w:val="auto"/>
                <w:sz w:val="22"/>
                <w:szCs w:val="22"/>
              </w:rPr>
            </w:pPr>
            <w:r>
              <w:rPr>
                <w:rFonts w:ascii="Arial" w:hAnsi="Arial"/>
                <w:color w:val="auto"/>
                <w:sz w:val="22"/>
                <w:szCs w:val="22"/>
              </w:rPr>
              <w:t>109 rimborsi e poste correttive delle entrate</w:t>
            </w:r>
          </w:p>
        </w:tc>
        <w:tc>
          <w:tcPr>
            <w:tcW w:w="206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 </w:t>
            </w:r>
            <w:r>
              <w:rPr>
                <w:rFonts w:ascii="Arial" w:hAnsi="Arial"/>
                <w:color w:val="auto"/>
                <w:sz w:val="22"/>
                <w:szCs w:val="22"/>
              </w:rPr>
              <w:t>146.066,49</w:t>
            </w:r>
          </w:p>
        </w:tc>
        <w:tc>
          <w:tcPr>
            <w:tcW w:w="194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w:t>
            </w:r>
            <w:r>
              <w:rPr>
                <w:rFonts w:ascii="Arial" w:hAnsi="Arial"/>
                <w:color w:val="auto"/>
                <w:sz w:val="22"/>
                <w:szCs w:val="22"/>
              </w:rPr>
              <w:t>71.080,94</w:t>
            </w:r>
          </w:p>
        </w:tc>
        <w:tc>
          <w:tcPr>
            <w:tcW w:w="1493"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74.985,55</w:t>
            </w:r>
          </w:p>
        </w:tc>
      </w:tr>
      <w:tr>
        <w:trPr>
          <w:trHeight w:val="316" w:hRule="atLeast"/>
        </w:trPr>
        <w:tc>
          <w:tcPr>
            <w:tcW w:w="4214"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color w:val="auto"/>
                <w:sz w:val="22"/>
                <w:szCs w:val="22"/>
              </w:rPr>
            </w:pPr>
            <w:r>
              <w:rPr>
                <w:rFonts w:ascii="Arial" w:hAnsi="Arial"/>
                <w:color w:val="auto"/>
                <w:sz w:val="22"/>
                <w:szCs w:val="22"/>
              </w:rPr>
              <w:t>110 altre spese correnti</w:t>
            </w:r>
          </w:p>
        </w:tc>
        <w:tc>
          <w:tcPr>
            <w:tcW w:w="206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 </w:t>
            </w:r>
            <w:r>
              <w:rPr>
                <w:rFonts w:ascii="Arial" w:hAnsi="Arial"/>
                <w:color w:val="auto"/>
                <w:sz w:val="22"/>
                <w:szCs w:val="22"/>
              </w:rPr>
              <w:t>1.662.116,09</w:t>
            </w:r>
          </w:p>
        </w:tc>
        <w:tc>
          <w:tcPr>
            <w:tcW w:w="194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 xml:space="preserve">€ </w:t>
            </w:r>
            <w:r>
              <w:rPr>
                <w:rFonts w:ascii="Arial" w:hAnsi="Arial"/>
                <w:color w:val="auto"/>
                <w:sz w:val="22"/>
                <w:szCs w:val="22"/>
              </w:rPr>
              <w:t>342.294,16</w:t>
            </w:r>
          </w:p>
        </w:tc>
        <w:tc>
          <w:tcPr>
            <w:tcW w:w="1493"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color w:val="auto"/>
                <w:sz w:val="22"/>
                <w:szCs w:val="22"/>
              </w:rPr>
            </w:pPr>
            <w:r>
              <w:rPr>
                <w:rFonts w:ascii="Arial" w:hAnsi="Arial"/>
                <w:color w:val="auto"/>
                <w:sz w:val="22"/>
                <w:szCs w:val="22"/>
              </w:rPr>
              <w:t>1.319.821,93</w:t>
            </w:r>
          </w:p>
        </w:tc>
      </w:tr>
      <w:tr>
        <w:trPr>
          <w:trHeight w:val="316" w:hRule="atLeast"/>
        </w:trPr>
        <w:tc>
          <w:tcPr>
            <w:tcW w:w="4214"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b/>
                <w:color w:val="auto"/>
                <w:sz w:val="22"/>
                <w:szCs w:val="22"/>
              </w:rPr>
              <w:t>TOTALE</w:t>
            </w:r>
          </w:p>
        </w:tc>
        <w:tc>
          <w:tcPr>
            <w:tcW w:w="206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color w:val="auto"/>
                <w:sz w:val="22"/>
                <w:szCs w:val="22"/>
              </w:rPr>
            </w:pPr>
            <w:r>
              <w:rPr>
                <w:rFonts w:ascii="Arial" w:hAnsi="Arial"/>
                <w:b/>
                <w:color w:val="auto"/>
                <w:sz w:val="22"/>
                <w:szCs w:val="22"/>
              </w:rPr>
              <w:t xml:space="preserve"> € </w:t>
            </w:r>
            <w:r>
              <w:rPr>
                <w:rFonts w:ascii="Arial" w:hAnsi="Arial"/>
                <w:b/>
                <w:color w:val="auto"/>
                <w:sz w:val="22"/>
                <w:szCs w:val="22"/>
              </w:rPr>
              <w:t>22.201.526,62</w:t>
            </w:r>
          </w:p>
        </w:tc>
        <w:tc>
          <w:tcPr>
            <w:tcW w:w="194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b/>
                <w:b/>
              </w:rPr>
            </w:pPr>
            <w:r>
              <w:rPr>
                <w:rFonts w:ascii="Arial" w:hAnsi="Arial"/>
                <w:b/>
                <w:color w:val="auto"/>
                <w:sz w:val="22"/>
                <w:szCs w:val="22"/>
              </w:rPr>
              <w:t xml:space="preserve">€ </w:t>
            </w:r>
            <w:r>
              <w:rPr>
                <w:rFonts w:ascii="Arial" w:hAnsi="Arial"/>
                <w:b/>
                <w:color w:val="auto"/>
                <w:sz w:val="22"/>
                <w:szCs w:val="22"/>
              </w:rPr>
              <w:t>21.786.937,22</w:t>
            </w:r>
          </w:p>
        </w:tc>
        <w:tc>
          <w:tcPr>
            <w:tcW w:w="1493"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center"/>
              <w:rPr>
                <w:rFonts w:ascii="Arial" w:hAnsi="Arial"/>
                <w:color w:val="auto"/>
                <w:sz w:val="22"/>
                <w:szCs w:val="22"/>
              </w:rPr>
            </w:pPr>
            <w:r>
              <w:rPr>
                <w:rFonts w:ascii="Arial" w:hAnsi="Arial"/>
                <w:b/>
                <w:color w:val="auto"/>
                <w:sz w:val="22"/>
                <w:szCs w:val="22"/>
              </w:rPr>
              <w:t>414.589,40</w:t>
            </w:r>
          </w:p>
        </w:tc>
      </w:tr>
    </w:tbl>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t xml:space="preserve">Spese per il personale </w:t>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L’Organo di revisione ha verificato che la spesa per il personale dipendente risultante dal rendiconto 2024, e le relative assunzioni hanno rispettato:</w:t>
      </w:r>
    </w:p>
    <w:p>
      <w:pPr>
        <w:pStyle w:val="Normal"/>
        <w:widowControl w:val="false"/>
        <w:numPr>
          <w:ilvl w:val="0"/>
          <w:numId w:val="7"/>
        </w:numPr>
        <w:tabs>
          <w:tab w:val="clear" w:pos="708"/>
          <w:tab w:val="left" w:pos="360" w:leader="none"/>
        </w:tabs>
        <w:suppressAutoHyphens w:val="true"/>
        <w:overflowPunct w:val="true"/>
        <w:spacing w:lineRule="auto" w:line="240" w:before="120" w:after="120"/>
        <w:ind w:left="0" w:hanging="2"/>
        <w:textAlignment w:val="top"/>
        <w:rPr>
          <w:rFonts w:ascii="Arial" w:hAnsi="Arial" w:eastAsia="Times New Roman" w:cs="Arial"/>
          <w:color w:val="auto"/>
          <w:szCs w:val="22"/>
          <w:lang w:eastAsia="it-IT"/>
        </w:rPr>
      </w:pPr>
      <w:r>
        <w:rPr>
          <w:rFonts w:eastAsia="Times New Roman" w:cs="Arial" w:ascii="Arial" w:hAnsi="Arial"/>
          <w:color w:val="auto"/>
          <w:szCs w:val="22"/>
          <w:lang w:eastAsia="it-IT"/>
        </w:rPr>
        <w:t xml:space="preserve">i vincoli disposti dall’art. 3, comma 5 e 5 quater del D.L. 90/2014; </w:t>
      </w:r>
    </w:p>
    <w:p>
      <w:pPr>
        <w:pStyle w:val="Normal"/>
        <w:widowControl w:val="false"/>
        <w:numPr>
          <w:ilvl w:val="0"/>
          <w:numId w:val="7"/>
        </w:numPr>
        <w:tabs>
          <w:tab w:val="clear" w:pos="708"/>
          <w:tab w:val="left" w:pos="360" w:leader="none"/>
        </w:tabs>
        <w:suppressAutoHyphens w:val="true"/>
        <w:overflowPunct w:val="true"/>
        <w:spacing w:lineRule="auto" w:line="240" w:before="120" w:after="120"/>
        <w:ind w:left="0" w:hanging="2"/>
        <w:textAlignment w:val="top"/>
        <w:rPr>
          <w:rFonts w:ascii="Arial" w:hAnsi="Arial" w:eastAsia="Times New Roman" w:cs="Arial"/>
          <w:color w:val="auto"/>
          <w:szCs w:val="22"/>
          <w:lang w:eastAsia="it-IT"/>
        </w:rPr>
      </w:pPr>
      <w:r>
        <w:rPr>
          <w:rFonts w:eastAsia="Times New Roman" w:cs="Arial" w:ascii="Arial" w:hAnsi="Arial"/>
          <w:color w:val="auto"/>
          <w:szCs w:val="22"/>
          <w:lang w:eastAsia="it-IT"/>
        </w:rPr>
        <w:t xml:space="preserve">i vincoli disposti dall’art. 9, comma 28 del D.L. 78/2010 sulla spesa per personale a tempo determinato, con convenzioni o con contratti di collaborazione coordinata e continuativa; che obbligano a non superare la spesa dell’anno 2009 </w:t>
      </w:r>
      <w:r>
        <w:rPr>
          <w:rFonts w:eastAsia="Times New Roman" w:cs="Arial" w:ascii="Arial" w:hAnsi="Arial"/>
          <w:color w:val="auto" w:themeColor="text1" w:themeTint="bf"/>
          <w:szCs w:val="22"/>
          <w:lang w:eastAsia="it-IT"/>
        </w:rPr>
        <w:t>di euro 397.687,00;</w:t>
      </w:r>
    </w:p>
    <w:p>
      <w:pPr>
        <w:pStyle w:val="Normal"/>
        <w:widowControl w:val="false"/>
        <w:numPr>
          <w:ilvl w:val="0"/>
          <w:numId w:val="7"/>
        </w:numPr>
        <w:tabs>
          <w:tab w:val="clear" w:pos="708"/>
          <w:tab w:val="left" w:pos="360" w:leader="none"/>
        </w:tabs>
        <w:suppressAutoHyphens w:val="true"/>
        <w:overflowPunct w:val="true"/>
        <w:spacing w:lineRule="auto" w:line="240" w:before="120" w:after="120"/>
        <w:ind w:left="0" w:hanging="2"/>
        <w:textAlignment w:val="top"/>
        <w:rPr>
          <w:rFonts w:ascii="Arial" w:hAnsi="Arial" w:eastAsia="Times New Roman" w:cs="Arial"/>
          <w:color w:val="auto"/>
          <w:szCs w:val="22"/>
          <w:lang w:eastAsia="it-IT"/>
        </w:rPr>
      </w:pPr>
      <w:r>
        <w:rPr>
          <w:rFonts w:eastAsia="Times New Roman" w:cs="Arial" w:ascii="Arial" w:hAnsi="Arial"/>
          <w:color w:val="auto"/>
          <w:szCs w:val="22"/>
          <w:lang w:eastAsia="it-IT"/>
        </w:rPr>
        <w:t>l’art.40 del d. lgs. 165/2001;</w:t>
      </w:r>
    </w:p>
    <w:p>
      <w:pPr>
        <w:pStyle w:val="Normal"/>
        <w:widowControl w:val="false"/>
        <w:numPr>
          <w:ilvl w:val="0"/>
          <w:numId w:val="90"/>
        </w:numPr>
        <w:tabs>
          <w:tab w:val="clear" w:pos="708"/>
          <w:tab w:val="left" w:pos="360" w:leader="none"/>
        </w:tabs>
        <w:suppressAutoHyphens w:val="true"/>
        <w:overflowPunct w:val="true"/>
        <w:spacing w:lineRule="auto" w:line="240" w:before="120" w:after="120"/>
        <w:ind w:left="0" w:hanging="2"/>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l’ammontare complessivo delle risorse destinate annualmente al trattamento accessorio del personale come previsto dal comma 2 dell’art.23 del d.lgs. 75/2017 assumendo a riferimento l’esercizio 2016.</w:t>
      </w:r>
    </w:p>
    <w:p>
      <w:pPr>
        <w:pStyle w:val="Normal"/>
        <w:widowControl w:val="false"/>
        <w:tabs>
          <w:tab w:val="clear" w:pos="708"/>
          <w:tab w:val="left" w:pos="360" w:leader="none"/>
        </w:tabs>
        <w:suppressAutoHyphens w:val="true"/>
        <w:overflowPunct w:val="true"/>
        <w:spacing w:lineRule="auto" w:line="240" w:before="120" w:after="12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120" w:after="0"/>
        <w:rPr>
          <w:rFonts w:ascii="Arial" w:hAnsi="Arial" w:eastAsia="Times New Roman" w:cs="Arial"/>
          <w:color w:val="auto"/>
          <w:szCs w:val="22"/>
          <w:lang w:eastAsia="it-IT"/>
        </w:rPr>
      </w:pPr>
      <w:r>
        <w:rPr>
          <w:rFonts w:eastAsia="Times New Roman" w:cs="Arial" w:ascii="Arial" w:hAnsi="Arial"/>
          <w:color w:val="auto"/>
          <w:szCs w:val="22"/>
          <w:lang w:eastAsia="it-IT"/>
        </w:rPr>
        <w:t xml:space="preserve">Gli oneri della contrattazione decentrata impegnati nell’anno 2018, non superano il corrispondente importo impegnato per l’anno 2016 e sono automaticamente ridotti in misura proporzionale alla riduzione del personale in servizio, tenendo conto del personale assumibile ai sensi della normativa vigente, come disposto dall’art.9 del D.L. 78/2010. </w:t>
      </w:r>
    </w:p>
    <w:p>
      <w:pPr>
        <w:pStyle w:val="Normal"/>
        <w:tabs>
          <w:tab w:val="clear" w:pos="708"/>
          <w:tab w:val="left" w:pos="360" w:leader="none"/>
          <w:tab w:val="left" w:pos="426" w:leader="none"/>
        </w:tabs>
        <w:spacing w:lineRule="auto" w:line="276" w:before="120" w:after="200"/>
        <w:rPr>
          <w:rFonts w:ascii="Arial" w:hAnsi="Arial" w:eastAsia="Times New Roman" w:cs="Arial"/>
          <w:i/>
          <w:i/>
          <w:color w:val="00B0F0"/>
          <w:szCs w:val="22"/>
          <w:lang w:eastAsia="it-IT"/>
        </w:rPr>
      </w:pPr>
      <w:r>
        <w:rPr>
          <w:rFonts w:eastAsia="Times New Roman" w:cs="Arial" w:ascii="Arial" w:hAnsi="Arial"/>
          <w:i/>
          <w:color w:val="00B0F0"/>
          <w:szCs w:val="22"/>
          <w:lang w:eastAsia="it-IT"/>
        </w:rPr>
      </w:r>
    </w:p>
    <w:p>
      <w:pPr>
        <w:pStyle w:val="Normal"/>
        <w:tabs>
          <w:tab w:val="clear" w:pos="708"/>
          <w:tab w:val="left" w:pos="360" w:leader="none"/>
          <w:tab w:val="left" w:pos="426" w:leader="none"/>
        </w:tabs>
        <w:spacing w:lineRule="auto" w:line="276" w:before="120" w:after="200"/>
        <w:rPr>
          <w:rFonts w:ascii="Arial" w:hAnsi="Arial" w:eastAsia="Times New Roman" w:cs="Arial"/>
          <w:i/>
          <w:i/>
          <w:color w:val="00B0F0"/>
          <w:szCs w:val="22"/>
          <w:lang w:eastAsia="it-IT"/>
        </w:rPr>
      </w:pPr>
      <w:r>
        <w:rPr>
          <w:rFonts w:eastAsia="Times New Roman" w:cs="Arial" w:ascii="Arial" w:hAnsi="Arial"/>
          <w:color w:val="auto"/>
          <w:szCs w:val="22"/>
          <w:lang w:eastAsia="it-IT"/>
        </w:rPr>
        <w:t xml:space="preserve">L’Organo di revisione ha verificato che la spesa di personale sostenuta nell’anno 2024 </w:t>
      </w:r>
      <w:r>
        <w:rPr>
          <w:rFonts w:eastAsia="Times New Roman" w:cs="Arial" w:ascii="Arial" w:hAnsi="Arial"/>
          <w:b/>
          <w:i/>
          <w:color w:val="auto"/>
          <w:szCs w:val="22"/>
          <w:lang w:eastAsia="it-IT"/>
        </w:rPr>
        <w:t>rientra</w:t>
      </w:r>
      <w:r>
        <w:rPr>
          <w:rFonts w:eastAsia="Times New Roman" w:cs="Arial" w:ascii="Arial" w:hAnsi="Arial"/>
          <w:color w:val="00B0F0"/>
          <w:szCs w:val="22"/>
          <w:lang w:eastAsia="it-IT"/>
        </w:rPr>
        <w:t xml:space="preserve"> </w:t>
      </w:r>
      <w:r>
        <w:rPr>
          <w:rFonts w:eastAsia="Times New Roman" w:cs="Arial" w:ascii="Arial" w:hAnsi="Arial"/>
          <w:color w:val="auto"/>
          <w:szCs w:val="22"/>
          <w:lang w:eastAsia="it-IT"/>
        </w:rPr>
        <w:t>nei limiti di cui all’art.1, comma 557, 557 quater, 562</w:t>
      </w:r>
      <w:r>
        <w:rPr>
          <w:rFonts w:eastAsia="Times New Roman" w:cs="Arial" w:ascii="Arial" w:hAnsi="Arial"/>
          <w:color w:val="00B0F0"/>
          <w:szCs w:val="22"/>
          <w:lang w:eastAsia="it-IT"/>
        </w:rPr>
        <w:t xml:space="preserve"> </w:t>
      </w:r>
      <w:r>
        <w:rPr>
          <w:rFonts w:eastAsia="Times New Roman" w:cs="Arial" w:ascii="Arial" w:hAnsi="Arial"/>
          <w:color w:val="auto"/>
          <w:szCs w:val="22"/>
          <w:lang w:eastAsia="it-IT"/>
        </w:rPr>
        <w:t>della Legge 296/2006.</w:t>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L’Organo di revisione ha verificato che l’Ente ha proceduto ad assunzioni di personale a tempo indeterminato nel rispetto del valore soglia della fascia demografica di appartenenza, ai sensi dell’art. 33, co. 2, del D.L. 30 aprile 2019, n. 34, convertito dalla legge 28 giugno 2019, n. 58. </w:t>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Il Collegio dei Revisori presente nell’esercizio 2024 </w:t>
      </w:r>
      <w:r>
        <w:rPr>
          <w:rFonts w:eastAsia="Times New Roman" w:cs="Arial" w:ascii="Arial" w:hAnsi="Arial"/>
          <w:b/>
          <w:bCs/>
          <w:color w:val="auto"/>
          <w:szCs w:val="22"/>
          <w:lang w:eastAsia="it-IT"/>
        </w:rPr>
        <w:t>ha</w:t>
      </w:r>
      <w:r>
        <w:rPr>
          <w:rFonts w:eastAsia="Times New Roman" w:cs="Arial" w:ascii="Arial" w:hAnsi="Arial"/>
          <w:color w:val="auto"/>
          <w:szCs w:val="22"/>
          <w:lang w:eastAsia="it-IT"/>
        </w:rPr>
        <w:t xml:space="preserve"> rilasciato il parere sul Piano triennale dei fabbisogni di personale – programma assunzionale 2024 – 2025 – 2026 e relative revisioni.</w:t>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t>Spese in c/capitale</w:t>
      </w:r>
    </w:p>
    <w:p>
      <w:pPr>
        <w:pStyle w:val="Normal"/>
        <w:widowControl w:val="false"/>
        <w:numPr>
          <w:ilvl w:val="0"/>
          <w:numId w:val="0"/>
        </w:numPr>
        <w:overflowPunct w:val="true"/>
        <w:spacing w:lineRule="auto" w:line="240" w:before="0" w:after="24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La comparazione delle spese in c/capitale, riclassificate per macro aggregati, impegnate negli ultimi due esercizi evidenzia:</w:t>
      </w:r>
    </w:p>
    <w:tbl>
      <w:tblPr>
        <w:tblW w:w="9597" w:type="dxa"/>
        <w:jc w:val="left"/>
        <w:tblInd w:w="-2" w:type="dxa"/>
        <w:tblLayout w:type="fixed"/>
        <w:tblCellMar>
          <w:top w:w="0" w:type="dxa"/>
          <w:left w:w="28" w:type="dxa"/>
          <w:bottom w:w="0" w:type="dxa"/>
          <w:right w:w="28" w:type="dxa"/>
        </w:tblCellMar>
      </w:tblPr>
      <w:tblGrid>
        <w:gridCol w:w="636"/>
        <w:gridCol w:w="3579"/>
        <w:gridCol w:w="2063"/>
        <w:gridCol w:w="1937"/>
        <w:gridCol w:w="1382"/>
      </w:tblGrid>
      <w:tr>
        <w:trPr>
          <w:trHeight w:val="316" w:hRule="atLeast"/>
        </w:trPr>
        <w:tc>
          <w:tcPr>
            <w:tcW w:w="4215" w:type="dxa"/>
            <w:gridSpan w:val="2"/>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center"/>
              <w:rPr/>
            </w:pPr>
            <w:r>
              <w:rPr>
                <w:b/>
              </w:rPr>
              <w:t>Macroaggregato</w:t>
            </w:r>
          </w:p>
        </w:tc>
        <w:tc>
          <w:tcPr>
            <w:tcW w:w="2063"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center"/>
              <w:rPr/>
            </w:pPr>
            <w:r>
              <w:rPr>
                <w:b/>
              </w:rPr>
              <w:t>2023</w:t>
            </w:r>
          </w:p>
        </w:tc>
        <w:tc>
          <w:tcPr>
            <w:tcW w:w="1937" w:type="dxa"/>
            <w:tcBorders>
              <w:top w:val="single" w:sz="2" w:space="0" w:color="000000"/>
              <w:left w:val="single" w:sz="2" w:space="0" w:color="000000"/>
              <w:bottom w:val="single" w:sz="2" w:space="0" w:color="000000"/>
            </w:tcBorders>
            <w:vAlign w:val="center"/>
          </w:tcPr>
          <w:p>
            <w:pPr>
              <w:pStyle w:val="Normal"/>
              <w:widowControl w:val="false"/>
              <w:tabs>
                <w:tab w:val="clear" w:pos="708"/>
              </w:tabs>
              <w:spacing w:before="0" w:after="200"/>
              <w:jc w:val="center"/>
              <w:rPr/>
            </w:pPr>
            <w:r>
              <w:rPr>
                <w:b/>
              </w:rPr>
              <w:t>2024</w:t>
            </w:r>
          </w:p>
        </w:tc>
        <w:tc>
          <w:tcPr>
            <w:tcW w:w="1382"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center"/>
              <w:rPr/>
            </w:pPr>
            <w:r>
              <w:rPr>
                <w:b/>
              </w:rPr>
              <w:t>differenza</w:t>
            </w:r>
          </w:p>
        </w:tc>
      </w:tr>
      <w:tr>
        <w:trPr>
          <w:trHeight w:val="316" w:hRule="atLeast"/>
        </w:trPr>
        <w:tc>
          <w:tcPr>
            <w:tcW w:w="63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pPr>
            <w:r>
              <w:rPr/>
              <w:t>201</w:t>
            </w:r>
          </w:p>
        </w:tc>
        <w:tc>
          <w:tcPr>
            <w:tcW w:w="3579"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sz w:val="22"/>
                <w:szCs w:val="22"/>
              </w:rPr>
            </w:pPr>
            <w:r>
              <w:rPr>
                <w:rFonts w:ascii="Arial" w:hAnsi="Arial"/>
                <w:sz w:val="22"/>
                <w:szCs w:val="22"/>
              </w:rPr>
              <w:t>Tributi in conto capitale a carico dell'ente</w:t>
            </w:r>
          </w:p>
        </w:tc>
        <w:tc>
          <w:tcPr>
            <w:tcW w:w="2063"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sz w:val="22"/>
                <w:szCs w:val="22"/>
              </w:rPr>
            </w:pPr>
            <w:r>
              <w:rPr>
                <w:rFonts w:ascii="Arial" w:hAnsi="Arial"/>
                <w:sz w:val="22"/>
                <w:szCs w:val="22"/>
              </w:rPr>
              <w:t xml:space="preserve"> € </w:t>
            </w:r>
            <w:r>
              <w:rPr>
                <w:rFonts w:ascii="Arial" w:hAnsi="Arial"/>
                <w:sz w:val="22"/>
                <w:szCs w:val="22"/>
              </w:rPr>
              <w:t>0,00</w:t>
            </w:r>
          </w:p>
        </w:tc>
        <w:tc>
          <w:tcPr>
            <w:tcW w:w="1937" w:type="dxa"/>
            <w:tcBorders>
              <w:left w:val="single" w:sz="2" w:space="0" w:color="000000"/>
              <w:bottom w:val="single" w:sz="2" w:space="0" w:color="000000"/>
            </w:tcBorders>
            <w:vAlign w:val="center"/>
          </w:tcPr>
          <w:p>
            <w:pPr>
              <w:pStyle w:val="Normal"/>
              <w:widowControl w:val="false"/>
              <w:tabs>
                <w:tab w:val="clear" w:pos="708"/>
              </w:tabs>
              <w:spacing w:before="0" w:after="200"/>
              <w:jc w:val="right"/>
              <w:rPr>
                <w:rFonts w:ascii="Arial" w:hAnsi="Arial"/>
                <w:sz w:val="22"/>
                <w:szCs w:val="22"/>
              </w:rPr>
            </w:pPr>
            <w:r>
              <w:rPr>
                <w:rFonts w:ascii="Arial" w:hAnsi="Arial"/>
                <w:sz w:val="22"/>
                <w:szCs w:val="22"/>
              </w:rPr>
              <w:t xml:space="preserve">€ </w:t>
            </w:r>
            <w:r>
              <w:rPr>
                <w:rFonts w:ascii="Arial" w:hAnsi="Arial"/>
                <w:sz w:val="22"/>
                <w:szCs w:val="22"/>
              </w:rPr>
              <w:t>0,00</w:t>
            </w:r>
          </w:p>
        </w:tc>
        <w:tc>
          <w:tcPr>
            <w:tcW w:w="1382"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sz w:val="22"/>
                <w:szCs w:val="22"/>
              </w:rPr>
            </w:pPr>
            <w:r>
              <w:rPr>
                <w:rFonts w:ascii="Arial" w:hAnsi="Arial"/>
                <w:sz w:val="22"/>
                <w:szCs w:val="22"/>
              </w:rPr>
              <w:t>0,00</w:t>
            </w:r>
          </w:p>
        </w:tc>
      </w:tr>
      <w:tr>
        <w:trPr>
          <w:trHeight w:val="316" w:hRule="atLeast"/>
        </w:trPr>
        <w:tc>
          <w:tcPr>
            <w:tcW w:w="63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pPr>
            <w:r>
              <w:rPr/>
              <w:t>202</w:t>
            </w:r>
          </w:p>
        </w:tc>
        <w:tc>
          <w:tcPr>
            <w:tcW w:w="3579"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sz w:val="22"/>
                <w:szCs w:val="22"/>
              </w:rPr>
            </w:pPr>
            <w:r>
              <w:rPr>
                <w:rFonts w:ascii="Arial" w:hAnsi="Arial"/>
                <w:sz w:val="22"/>
                <w:szCs w:val="22"/>
              </w:rPr>
              <w:t>Investimenti fissi lordi e acquisto di terreni</w:t>
            </w:r>
          </w:p>
        </w:tc>
        <w:tc>
          <w:tcPr>
            <w:tcW w:w="2063"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sz w:val="22"/>
                <w:szCs w:val="22"/>
              </w:rPr>
            </w:pPr>
            <w:r>
              <w:rPr>
                <w:rFonts w:ascii="Arial" w:hAnsi="Arial"/>
                <w:sz w:val="22"/>
                <w:szCs w:val="22"/>
              </w:rPr>
              <w:t xml:space="preserve"> € </w:t>
            </w:r>
            <w:r>
              <w:rPr>
                <w:rFonts w:ascii="Arial" w:hAnsi="Arial"/>
                <w:sz w:val="22"/>
                <w:szCs w:val="22"/>
              </w:rPr>
              <w:t>3.102.462,74</w:t>
            </w:r>
          </w:p>
        </w:tc>
        <w:tc>
          <w:tcPr>
            <w:tcW w:w="1937"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sz w:val="22"/>
                <w:szCs w:val="22"/>
              </w:rPr>
            </w:pPr>
            <w:r>
              <w:rPr>
                <w:rFonts w:ascii="Arial" w:hAnsi="Arial"/>
                <w:sz w:val="22"/>
                <w:szCs w:val="22"/>
              </w:rPr>
              <w:t xml:space="preserve">€ </w:t>
            </w:r>
            <w:r>
              <w:rPr>
                <w:rFonts w:ascii="Arial" w:hAnsi="Arial"/>
                <w:sz w:val="22"/>
                <w:szCs w:val="22"/>
              </w:rPr>
              <w:t>2.174.631,62</w:t>
            </w:r>
          </w:p>
        </w:tc>
        <w:tc>
          <w:tcPr>
            <w:tcW w:w="1382"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sz w:val="22"/>
                <w:szCs w:val="22"/>
              </w:rPr>
            </w:pPr>
            <w:r>
              <w:rPr>
                <w:rFonts w:ascii="Arial" w:hAnsi="Arial"/>
                <w:sz w:val="22"/>
                <w:szCs w:val="22"/>
              </w:rPr>
              <w:t>927.831,12</w:t>
            </w:r>
          </w:p>
        </w:tc>
      </w:tr>
      <w:tr>
        <w:trPr>
          <w:trHeight w:val="316" w:hRule="atLeast"/>
        </w:trPr>
        <w:tc>
          <w:tcPr>
            <w:tcW w:w="63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pPr>
            <w:r>
              <w:rPr/>
              <w:t>203</w:t>
            </w:r>
          </w:p>
        </w:tc>
        <w:tc>
          <w:tcPr>
            <w:tcW w:w="3579"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sz w:val="22"/>
                <w:szCs w:val="22"/>
              </w:rPr>
            </w:pPr>
            <w:r>
              <w:rPr>
                <w:rFonts w:ascii="Arial" w:hAnsi="Arial"/>
                <w:sz w:val="22"/>
                <w:szCs w:val="22"/>
              </w:rPr>
              <w:t>Contributi agli investimenti</w:t>
            </w:r>
          </w:p>
        </w:tc>
        <w:tc>
          <w:tcPr>
            <w:tcW w:w="2063"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sz w:val="22"/>
                <w:szCs w:val="22"/>
              </w:rPr>
            </w:pPr>
            <w:r>
              <w:rPr>
                <w:rFonts w:ascii="Arial" w:hAnsi="Arial"/>
                <w:sz w:val="22"/>
                <w:szCs w:val="22"/>
              </w:rPr>
              <w:t xml:space="preserve"> € </w:t>
            </w:r>
            <w:r>
              <w:rPr>
                <w:rFonts w:ascii="Arial" w:hAnsi="Arial"/>
                <w:sz w:val="22"/>
                <w:szCs w:val="22"/>
              </w:rPr>
              <w:t>35.052,12</w:t>
            </w:r>
          </w:p>
        </w:tc>
        <w:tc>
          <w:tcPr>
            <w:tcW w:w="1937"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sz w:val="22"/>
                <w:szCs w:val="22"/>
              </w:rPr>
            </w:pPr>
            <w:r>
              <w:rPr>
                <w:rFonts w:ascii="Arial" w:hAnsi="Arial"/>
                <w:sz w:val="22"/>
                <w:szCs w:val="22"/>
              </w:rPr>
              <w:t xml:space="preserve">€ </w:t>
            </w:r>
            <w:r>
              <w:rPr>
                <w:rFonts w:ascii="Arial" w:hAnsi="Arial"/>
                <w:sz w:val="22"/>
                <w:szCs w:val="22"/>
              </w:rPr>
              <w:t>23.505,47</w:t>
            </w:r>
          </w:p>
        </w:tc>
        <w:tc>
          <w:tcPr>
            <w:tcW w:w="1382"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sz w:val="22"/>
                <w:szCs w:val="22"/>
              </w:rPr>
            </w:pPr>
            <w:r>
              <w:rPr>
                <w:rFonts w:ascii="Arial" w:hAnsi="Arial"/>
                <w:sz w:val="22"/>
                <w:szCs w:val="22"/>
              </w:rPr>
              <w:t>11.546,65</w:t>
            </w:r>
          </w:p>
        </w:tc>
      </w:tr>
      <w:tr>
        <w:trPr>
          <w:trHeight w:val="316" w:hRule="atLeast"/>
        </w:trPr>
        <w:tc>
          <w:tcPr>
            <w:tcW w:w="63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pPr>
            <w:r>
              <w:rPr/>
              <w:t>204</w:t>
            </w:r>
          </w:p>
        </w:tc>
        <w:tc>
          <w:tcPr>
            <w:tcW w:w="3579"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sz w:val="22"/>
                <w:szCs w:val="22"/>
              </w:rPr>
            </w:pPr>
            <w:r>
              <w:rPr>
                <w:rFonts w:ascii="Arial" w:hAnsi="Arial"/>
                <w:sz w:val="22"/>
                <w:szCs w:val="22"/>
              </w:rPr>
              <w:t>Altri trasferimenti in conto capitale</w:t>
            </w:r>
          </w:p>
        </w:tc>
        <w:tc>
          <w:tcPr>
            <w:tcW w:w="2063"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sz w:val="22"/>
                <w:szCs w:val="22"/>
              </w:rPr>
            </w:pPr>
            <w:r>
              <w:rPr>
                <w:rFonts w:ascii="Arial" w:hAnsi="Arial"/>
                <w:sz w:val="22"/>
                <w:szCs w:val="22"/>
              </w:rPr>
              <w:t xml:space="preserve">€ </w:t>
            </w:r>
            <w:r>
              <w:rPr>
                <w:rFonts w:ascii="Arial" w:hAnsi="Arial"/>
                <w:sz w:val="22"/>
                <w:szCs w:val="22"/>
              </w:rPr>
              <w:t>0,00</w:t>
            </w:r>
          </w:p>
        </w:tc>
        <w:tc>
          <w:tcPr>
            <w:tcW w:w="1937"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sz w:val="22"/>
                <w:szCs w:val="22"/>
              </w:rPr>
            </w:pPr>
            <w:r>
              <w:rPr>
                <w:rFonts w:ascii="Arial" w:hAnsi="Arial"/>
                <w:sz w:val="22"/>
                <w:szCs w:val="22"/>
              </w:rPr>
              <w:t xml:space="preserve">€ </w:t>
            </w:r>
            <w:r>
              <w:rPr>
                <w:rFonts w:ascii="Arial" w:hAnsi="Arial"/>
                <w:sz w:val="22"/>
                <w:szCs w:val="22"/>
              </w:rPr>
              <w:t>0,00</w:t>
            </w:r>
          </w:p>
        </w:tc>
        <w:tc>
          <w:tcPr>
            <w:tcW w:w="1382"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sz w:val="22"/>
                <w:szCs w:val="22"/>
              </w:rPr>
            </w:pPr>
            <w:r>
              <w:rPr>
                <w:rFonts w:ascii="Arial" w:hAnsi="Arial"/>
                <w:sz w:val="22"/>
                <w:szCs w:val="22"/>
              </w:rPr>
              <w:t>0,00</w:t>
            </w:r>
          </w:p>
        </w:tc>
      </w:tr>
      <w:tr>
        <w:trPr>
          <w:trHeight w:val="316" w:hRule="atLeast"/>
        </w:trPr>
        <w:tc>
          <w:tcPr>
            <w:tcW w:w="636" w:type="dxa"/>
            <w:tcBorders>
              <w:left w:val="single" w:sz="2" w:space="0" w:color="000000"/>
              <w:bottom w:val="single" w:sz="2" w:space="0" w:color="000000"/>
            </w:tcBorders>
            <w:vAlign w:val="bottom"/>
          </w:tcPr>
          <w:p>
            <w:pPr>
              <w:pStyle w:val="Normal"/>
              <w:widowControl w:val="false"/>
              <w:tabs>
                <w:tab w:val="clear" w:pos="708"/>
              </w:tabs>
              <w:spacing w:before="0" w:after="200"/>
              <w:jc w:val="right"/>
              <w:rPr/>
            </w:pPr>
            <w:r>
              <w:rPr/>
              <w:t>205</w:t>
            </w:r>
          </w:p>
        </w:tc>
        <w:tc>
          <w:tcPr>
            <w:tcW w:w="3579" w:type="dxa"/>
            <w:tcBorders>
              <w:left w:val="single" w:sz="2" w:space="0" w:color="000000"/>
              <w:bottom w:val="single" w:sz="2" w:space="0" w:color="000000"/>
            </w:tcBorders>
            <w:vAlign w:val="bottom"/>
          </w:tcPr>
          <w:p>
            <w:pPr>
              <w:pStyle w:val="Normal"/>
              <w:widowControl w:val="false"/>
              <w:tabs>
                <w:tab w:val="clear" w:pos="708"/>
              </w:tabs>
              <w:spacing w:before="0" w:after="200"/>
              <w:jc w:val="left"/>
              <w:rPr>
                <w:rFonts w:ascii="Arial" w:hAnsi="Arial"/>
                <w:sz w:val="22"/>
                <w:szCs w:val="22"/>
              </w:rPr>
            </w:pPr>
            <w:r>
              <w:rPr>
                <w:rFonts w:ascii="Arial" w:hAnsi="Arial"/>
                <w:sz w:val="22"/>
                <w:szCs w:val="22"/>
              </w:rPr>
              <w:t>Altre spese in conto capitale</w:t>
            </w:r>
          </w:p>
        </w:tc>
        <w:tc>
          <w:tcPr>
            <w:tcW w:w="2063"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sz w:val="22"/>
                <w:szCs w:val="22"/>
              </w:rPr>
            </w:pPr>
            <w:r>
              <w:rPr>
                <w:rFonts w:ascii="Arial" w:hAnsi="Arial"/>
                <w:sz w:val="22"/>
                <w:szCs w:val="22"/>
              </w:rPr>
              <w:t xml:space="preserve"> € </w:t>
            </w:r>
            <w:r>
              <w:rPr>
                <w:rFonts w:ascii="Arial" w:hAnsi="Arial"/>
                <w:sz w:val="22"/>
                <w:szCs w:val="22"/>
              </w:rPr>
              <w:t>484,00</w:t>
            </w:r>
          </w:p>
        </w:tc>
        <w:tc>
          <w:tcPr>
            <w:tcW w:w="1937"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sz w:val="22"/>
                <w:szCs w:val="22"/>
              </w:rPr>
            </w:pPr>
            <w:r>
              <w:rPr>
                <w:rFonts w:ascii="Arial" w:hAnsi="Arial"/>
                <w:sz w:val="22"/>
                <w:szCs w:val="22"/>
              </w:rPr>
              <w:t xml:space="preserve">€ </w:t>
            </w:r>
            <w:r>
              <w:rPr>
                <w:rFonts w:ascii="Arial" w:hAnsi="Arial"/>
                <w:sz w:val="22"/>
                <w:szCs w:val="22"/>
              </w:rPr>
              <w:t>1.468,74</w:t>
            </w:r>
          </w:p>
        </w:tc>
        <w:tc>
          <w:tcPr>
            <w:tcW w:w="1382"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right"/>
              <w:rPr>
                <w:rFonts w:ascii="Arial" w:hAnsi="Arial"/>
                <w:sz w:val="22"/>
                <w:szCs w:val="22"/>
              </w:rPr>
            </w:pPr>
            <w:r>
              <w:rPr>
                <w:rFonts w:ascii="Arial" w:hAnsi="Arial"/>
                <w:sz w:val="22"/>
                <w:szCs w:val="22"/>
              </w:rPr>
              <w:t>-984,74</w:t>
            </w:r>
          </w:p>
        </w:tc>
      </w:tr>
      <w:tr>
        <w:trPr>
          <w:trHeight w:val="316" w:hRule="atLeast"/>
        </w:trPr>
        <w:tc>
          <w:tcPr>
            <w:tcW w:w="4215" w:type="dxa"/>
            <w:gridSpan w:val="2"/>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sz w:val="22"/>
                <w:szCs w:val="22"/>
              </w:rPr>
            </w:pPr>
            <w:r>
              <w:rPr>
                <w:rFonts w:ascii="Arial" w:hAnsi="Arial"/>
                <w:b/>
                <w:sz w:val="22"/>
                <w:szCs w:val="22"/>
              </w:rPr>
              <w:t>TOTALE</w:t>
            </w:r>
          </w:p>
        </w:tc>
        <w:tc>
          <w:tcPr>
            <w:tcW w:w="2063" w:type="dxa"/>
            <w:tcBorders>
              <w:left w:val="single" w:sz="2" w:space="0" w:color="000000"/>
              <w:bottom w:val="single" w:sz="2" w:space="0" w:color="000000"/>
            </w:tcBorders>
            <w:vAlign w:val="bottom"/>
          </w:tcPr>
          <w:p>
            <w:pPr>
              <w:pStyle w:val="Normal"/>
              <w:widowControl w:val="false"/>
              <w:tabs>
                <w:tab w:val="clear" w:pos="708"/>
              </w:tabs>
              <w:spacing w:before="0" w:after="200"/>
              <w:jc w:val="right"/>
              <w:rPr>
                <w:rFonts w:ascii="Arial" w:hAnsi="Arial"/>
                <w:sz w:val="22"/>
                <w:szCs w:val="22"/>
              </w:rPr>
            </w:pPr>
            <w:r>
              <w:rPr>
                <w:rFonts w:ascii="Arial" w:hAnsi="Arial"/>
                <w:b/>
                <w:sz w:val="22"/>
                <w:szCs w:val="22"/>
              </w:rPr>
              <w:t xml:space="preserve"> € </w:t>
            </w:r>
            <w:r>
              <w:rPr>
                <w:rFonts w:ascii="Arial" w:hAnsi="Arial"/>
                <w:b/>
                <w:sz w:val="22"/>
                <w:szCs w:val="22"/>
              </w:rPr>
              <w:t>3.137.998,86</w:t>
            </w:r>
          </w:p>
        </w:tc>
        <w:tc>
          <w:tcPr>
            <w:tcW w:w="1937" w:type="dxa"/>
            <w:tcBorders>
              <w:left w:val="single" w:sz="2" w:space="0" w:color="000000"/>
              <w:bottom w:val="single" w:sz="2" w:space="0" w:color="000000"/>
            </w:tcBorders>
            <w:vAlign w:val="bottom"/>
          </w:tcPr>
          <w:p>
            <w:pPr>
              <w:pStyle w:val="Normal"/>
              <w:widowControl w:val="false"/>
              <w:tabs>
                <w:tab w:val="clear" w:pos="708"/>
              </w:tabs>
              <w:spacing w:before="0" w:after="200"/>
              <w:jc w:val="right"/>
              <w:rPr>
                <w:b/>
                <w:b/>
              </w:rPr>
            </w:pPr>
            <w:r>
              <w:rPr>
                <w:rFonts w:ascii="Arial" w:hAnsi="Arial"/>
                <w:b/>
                <w:sz w:val="22"/>
                <w:szCs w:val="22"/>
              </w:rPr>
              <w:t xml:space="preserve">€ </w:t>
            </w:r>
            <w:r>
              <w:rPr>
                <w:rFonts w:ascii="Arial" w:hAnsi="Arial"/>
                <w:b/>
                <w:sz w:val="22"/>
                <w:szCs w:val="22"/>
              </w:rPr>
              <w:t>2.199.605,83</w:t>
            </w:r>
          </w:p>
        </w:tc>
        <w:tc>
          <w:tcPr>
            <w:tcW w:w="1382" w:type="dxa"/>
            <w:tcBorders>
              <w:left w:val="single" w:sz="2" w:space="0" w:color="000000"/>
              <w:bottom w:val="single" w:sz="2" w:space="0" w:color="000000"/>
              <w:right w:val="single" w:sz="2" w:space="0" w:color="000000"/>
            </w:tcBorders>
            <w:vAlign w:val="center"/>
          </w:tcPr>
          <w:p>
            <w:pPr>
              <w:pStyle w:val="Normal"/>
              <w:widowControl w:val="false"/>
              <w:tabs>
                <w:tab w:val="clear" w:pos="708"/>
              </w:tabs>
              <w:spacing w:before="0" w:after="200"/>
              <w:jc w:val="center"/>
              <w:rPr>
                <w:rFonts w:ascii="Arial" w:hAnsi="Arial"/>
                <w:sz w:val="22"/>
                <w:szCs w:val="22"/>
              </w:rPr>
            </w:pPr>
            <w:r>
              <w:rPr>
                <w:rFonts w:ascii="Arial" w:hAnsi="Arial"/>
                <w:b/>
                <w:sz w:val="22"/>
                <w:szCs w:val="22"/>
              </w:rPr>
              <w:t>938.393,03</w:t>
            </w:r>
          </w:p>
        </w:tc>
      </w:tr>
    </w:tbl>
    <w:p>
      <w:pPr>
        <w:pStyle w:val="Normal"/>
        <w:spacing w:lineRule="auto" w:line="240" w:before="0" w:after="0"/>
        <w:rPr>
          <w:rFonts w:ascii="Arial" w:hAnsi="Arial" w:eastAsia="Times New Roman" w:cs="Arial"/>
          <w:color w:val="000000"/>
          <w:szCs w:val="22"/>
          <w:lang w:eastAsia="it-IT"/>
        </w:rPr>
      </w:pPr>
      <w:r>
        <w:rPr>
          <w:rFonts w:eastAsia="Times New Roman" w:cs="Arial" w:ascii="Arial" w:hAnsi="Arial"/>
          <w:color w:val="000000"/>
          <w:szCs w:val="22"/>
          <w:lang w:eastAsia="it-IT"/>
        </w:rPr>
      </w:r>
    </w:p>
    <w:p>
      <w:pPr>
        <w:pStyle w:val="Normal"/>
        <w:spacing w:lineRule="auto" w:line="240" w:before="0" w:after="0"/>
        <w:rPr>
          <w:rFonts w:ascii="Arial" w:hAnsi="Arial" w:eastAsia="Times New Roman" w:cs="Arial"/>
          <w:color w:val="000000"/>
          <w:szCs w:val="22"/>
          <w:lang w:eastAsia="it-IT"/>
        </w:rPr>
      </w:pPr>
      <w:r>
        <w:rPr>
          <w:rFonts w:eastAsia="Times New Roman" w:cs="Arial" w:ascii="Arial" w:hAnsi="Arial"/>
          <w:color w:val="000000"/>
          <w:szCs w:val="22"/>
          <w:lang w:eastAsia="it-IT"/>
        </w:rPr>
      </w:r>
    </w:p>
    <w:p>
      <w:pPr>
        <w:pStyle w:val="Normal"/>
        <w:spacing w:lineRule="auto" w:line="240" w:before="0" w:after="0"/>
        <w:rPr>
          <w:rFonts w:ascii="Arial" w:hAnsi="Arial" w:eastAsia="Times New Roman" w:cs="Arial"/>
          <w:color w:val="000000"/>
          <w:szCs w:val="22"/>
          <w:lang w:eastAsia="it-IT"/>
        </w:rPr>
      </w:pPr>
      <w:r>
        <w:rPr>
          <w:rFonts w:eastAsia="Times New Roman" w:cs="Arial" w:ascii="Arial" w:hAnsi="Arial"/>
          <w:color w:val="000000"/>
          <w:szCs w:val="22"/>
          <w:lang w:eastAsia="it-IT"/>
        </w:rPr>
        <w:t>L’Organo di revisione ha verificato che:</w:t>
      </w:r>
    </w:p>
    <w:p>
      <w:pPr>
        <w:pStyle w:val="Normal"/>
        <w:spacing w:lineRule="auto" w:line="240" w:before="0" w:after="0"/>
        <w:rPr>
          <w:rFonts w:ascii="Arial" w:hAnsi="Arial" w:eastAsia="Times New Roman" w:cs="Arial"/>
          <w:color w:val="000000"/>
          <w:szCs w:val="22"/>
          <w:lang w:eastAsia="it-IT"/>
        </w:rPr>
      </w:pPr>
      <w:r>
        <w:rPr>
          <w:rFonts w:eastAsia="Times New Roman" w:cs="Arial" w:ascii="Arial" w:hAnsi="Arial"/>
          <w:color w:val="000000"/>
          <w:szCs w:val="22"/>
          <w:lang w:eastAsia="it-IT"/>
        </w:rPr>
      </w:r>
    </w:p>
    <w:p>
      <w:pPr>
        <w:pStyle w:val="Normal"/>
        <w:spacing w:lineRule="auto" w:line="240" w:before="0" w:after="0"/>
        <w:rPr>
          <w:rFonts w:ascii="Arial" w:hAnsi="Arial" w:eastAsia="Times New Roman" w:cs="Arial"/>
          <w:i/>
          <w:i/>
          <w:color w:val="000000"/>
          <w:szCs w:val="22"/>
          <w:lang w:eastAsia="it-IT"/>
        </w:rPr>
      </w:pPr>
      <w:r>
        <w:rPr>
          <w:rFonts w:eastAsia="Times New Roman" w:cs="Arial" w:ascii="Arial" w:hAnsi="Arial"/>
          <w:color w:val="000000"/>
          <w:szCs w:val="22"/>
          <w:lang w:eastAsia="it-IT"/>
        </w:rPr>
        <w:t xml:space="preserve">- nel rendiconto 2024 le somme iscritte ai titoli IV, V e VI delle entrate </w:t>
      </w:r>
      <w:r>
        <w:rPr>
          <w:rFonts w:eastAsia="Times New Roman" w:cs="Arial" w:ascii="Arial" w:hAnsi="Arial"/>
          <w:b/>
          <w:i/>
          <w:color w:val="000000"/>
          <w:szCs w:val="22"/>
          <w:lang w:eastAsia="it-IT"/>
        </w:rPr>
        <w:t>sono state</w:t>
      </w:r>
      <w:r>
        <w:rPr>
          <w:rFonts w:eastAsia="Times New Roman" w:cs="Arial" w:ascii="Arial" w:hAnsi="Arial"/>
          <w:color w:val="000000"/>
          <w:szCs w:val="22"/>
          <w:lang w:eastAsia="it-IT"/>
        </w:rPr>
        <w:t xml:space="preserve"> destinate esclusivamente al finanziamento delle spese di investimento.</w:t>
      </w:r>
    </w:p>
    <w:p>
      <w:pPr>
        <w:pStyle w:val="Normal"/>
        <w:spacing w:lineRule="auto" w:line="240" w:before="0" w:after="0"/>
        <w:rPr>
          <w:rFonts w:ascii="Arial" w:hAnsi="Arial" w:eastAsia="Times New Roman" w:cs="Arial"/>
          <w:i/>
          <w:i/>
          <w:color w:val="000000"/>
          <w:szCs w:val="22"/>
          <w:lang w:eastAsia="it-IT"/>
        </w:rPr>
      </w:pPr>
      <w:r>
        <w:rPr>
          <w:rFonts w:eastAsia="Times New Roman" w:cs="Arial" w:ascii="Arial" w:hAnsi="Arial"/>
          <w:i/>
          <w:color w:val="000000"/>
          <w:szCs w:val="22"/>
          <w:lang w:eastAsia="it-IT"/>
        </w:rPr>
      </w:r>
    </w:p>
    <w:p>
      <w:pPr>
        <w:pStyle w:val="Normal"/>
        <w:widowControl w:val="false"/>
        <w:overflowPunct w:val="true"/>
        <w:spacing w:lineRule="auto" w:line="240" w:before="0" w:after="120"/>
        <w:contextualSpacing/>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24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spacing w:lineRule="auto" w:line="240" w:before="0" w:after="0"/>
        <w:jc w:val="left"/>
        <w:rPr>
          <w:rFonts w:ascii="Arial" w:hAnsi="Arial" w:eastAsia="Times New Roman" w:cs="Arial"/>
          <w:color w:val="auto"/>
          <w:sz w:val="20"/>
          <w:szCs w:val="20"/>
          <w:lang w:eastAsia="it-IT"/>
        </w:rPr>
      </w:pPr>
      <w:r>
        <w:rPr>
          <w:rFonts w:eastAsia="Times New Roman" w:cs="Arial" w:ascii="Arial" w:hAnsi="Arial"/>
          <w:color w:val="auto"/>
          <w:sz w:val="20"/>
          <w:szCs w:val="20"/>
          <w:lang w:eastAsia="it-IT"/>
        </w:rPr>
      </w:r>
    </w:p>
    <w:p>
      <w:pPr>
        <w:pStyle w:val="Normal"/>
        <w:widowControl w:val="false"/>
        <w:overflowPunct w:val="true"/>
        <w:spacing w:lineRule="auto" w:line="240" w:before="0" w:after="120"/>
        <w:textAlignment w:val="baseline"/>
        <w:rPr>
          <w:rFonts w:ascii="Arial" w:hAnsi="Arial" w:eastAsia="Times New Roman" w:cs="Arial"/>
          <w:b/>
          <w:b/>
          <w:color w:val="auto"/>
          <w:sz w:val="24"/>
          <w:szCs w:val="24"/>
          <w:u w:val="single"/>
          <w:lang w:eastAsia="it-IT"/>
        </w:rPr>
      </w:pPr>
      <w:r>
        <w:rPr>
          <w:rFonts w:eastAsia="Times New Roman" w:cs="Arial" w:ascii="Arial" w:hAnsi="Arial"/>
          <w:b/>
          <w:color w:val="auto"/>
          <w:sz w:val="24"/>
          <w:szCs w:val="24"/>
          <w:u w:val="single"/>
          <w:lang w:eastAsia="it-IT"/>
        </w:rPr>
        <w:t>Debiti fuori bilancio</w:t>
      </w:r>
    </w:p>
    <w:p>
      <w:pPr>
        <w:pStyle w:val="Normal"/>
        <w:widowControl w:val="false"/>
        <w:overflowPunct w:val="true"/>
        <w:spacing w:lineRule="auto" w:line="240" w:before="0" w:after="0"/>
        <w:contextualSpacing/>
        <w:rPr>
          <w:rFonts w:ascii="Arial" w:hAnsi="Arial" w:eastAsia="Times New Roman" w:cs="Arial"/>
          <w:b/>
          <w:b/>
          <w:i/>
          <w:i/>
          <w:color w:val="auto"/>
          <w:sz w:val="20"/>
          <w:szCs w:val="20"/>
          <w:lang w:eastAsia="it-IT"/>
        </w:rPr>
      </w:pPr>
      <w:r>
        <w:rPr>
          <w:rFonts w:eastAsia="Times New Roman" w:cs="Arial" w:ascii="Arial" w:hAnsi="Arial"/>
          <w:b/>
          <w:i/>
          <w:color w:val="auto"/>
          <w:sz w:val="20"/>
          <w:szCs w:val="20"/>
          <w:lang w:eastAsia="it-IT"/>
        </w:rPr>
      </w:r>
    </w:p>
    <w:p>
      <w:pPr>
        <w:pStyle w:val="Normal"/>
        <w:widowControl w:val="false"/>
        <w:overflowPunct w:val="true"/>
        <w:spacing w:lineRule="auto" w:line="240" w:before="0" w:after="0"/>
        <w:contextualSpacing/>
        <w:jc w:val="both"/>
        <w:rPr/>
      </w:pPr>
      <w:r>
        <w:rPr>
          <w:rFonts w:eastAsia="Times New Roman" w:cs="Arial" w:ascii="Arial" w:hAnsi="Arial"/>
          <w:bCs/>
          <w:color w:val="auto" w:themeColor="text1" w:themeTint="bf"/>
          <w:sz w:val="22"/>
          <w:szCs w:val="22"/>
          <w:lang w:eastAsia="it-IT"/>
        </w:rPr>
        <w:t xml:space="preserve">L’Organo di revisione ha verificato che l’Ente </w:t>
      </w:r>
      <w:r>
        <w:rPr>
          <w:rFonts w:eastAsia="Times New Roman" w:cs="Arial" w:ascii="Arial" w:hAnsi="Arial"/>
          <w:b/>
          <w:bCs/>
          <w:i/>
          <w:color w:val="auto" w:themeColor="text1" w:themeTint="bf"/>
          <w:sz w:val="22"/>
          <w:szCs w:val="22"/>
          <w:lang w:eastAsia="it-IT"/>
        </w:rPr>
        <w:t>ha provveduto</w:t>
      </w:r>
      <w:r>
        <w:rPr>
          <w:rFonts w:eastAsia="Times New Roman" w:cs="Arial" w:ascii="Arial" w:hAnsi="Arial"/>
          <w:bCs/>
          <w:color w:val="auto" w:themeColor="text1" w:themeTint="bf"/>
          <w:sz w:val="22"/>
          <w:szCs w:val="22"/>
          <w:lang w:eastAsia="it-IT"/>
        </w:rPr>
        <w:t xml:space="preserve"> nel corso del 2024 al riconoscimento e finanziamento di debiti fuori bilancio, ai sensi dell’art. 194 comma 1 lettera a) del D.Lgs. 267/2000 – sentenze esecutive, esclusivamente di parte corrente, per Euro 6.638,06, con l’approvazione delle seguenti deliberazioni del Consiglio comunale:</w:t>
      </w:r>
    </w:p>
    <w:p>
      <w:pPr>
        <w:pStyle w:val="Normal"/>
        <w:widowControl w:val="false"/>
        <w:overflowPunct w:val="true"/>
        <w:spacing w:lineRule="auto" w:line="240" w:before="0" w:after="0"/>
        <w:contextualSpacing/>
        <w:jc w:val="both"/>
        <w:rPr>
          <w:rFonts w:eastAsia="Times New Roman" w:cs="Arial"/>
          <w:bCs/>
          <w:color w:themeColor="text1" w:themeTint="bf"/>
          <w:lang w:eastAsia="it-IT"/>
        </w:rPr>
      </w:pPr>
      <w:r>
        <w:rPr>
          <w:rFonts w:eastAsia="Times New Roman" w:cs="Arial"/>
          <w:bCs/>
          <w:color w:themeColor="text1" w:themeTint="bf"/>
          <w:lang w:eastAsia="it-IT"/>
        </w:rPr>
      </w:r>
    </w:p>
    <w:p>
      <w:pPr>
        <w:pStyle w:val="Normal"/>
        <w:numPr>
          <w:ilvl w:val="0"/>
          <w:numId w:val="14"/>
        </w:numPr>
        <w:jc w:val="left"/>
        <w:rPr>
          <w:rFonts w:ascii="Arial" w:hAnsi="Arial"/>
          <w:color w:val="auto"/>
          <w:sz w:val="22"/>
          <w:szCs w:val="22"/>
        </w:rPr>
      </w:pPr>
      <w:r>
        <w:rPr>
          <w:rFonts w:eastAsia="Times New Roman" w:cs="Arial" w:ascii="Arial" w:hAnsi="Arial"/>
          <w:bCs/>
          <w:color w:val="auto" w:themeColor="text1" w:themeTint="bf"/>
          <w:sz w:val="22"/>
          <w:szCs w:val="22"/>
          <w:lang w:eastAsia="it-IT"/>
        </w:rPr>
        <w:t xml:space="preserve">deliberazione del Consiglio comunale n. 26 del 23.04.2024 per </w:t>
      </w:r>
      <w:r>
        <w:rPr>
          <w:rFonts w:ascii="Arial" w:hAnsi="Arial"/>
          <w:color w:val="auto"/>
          <w:sz w:val="22"/>
          <w:szCs w:val="22"/>
        </w:rPr>
        <w:t>€ 461,41;</w:t>
      </w:r>
    </w:p>
    <w:p>
      <w:pPr>
        <w:pStyle w:val="Normal"/>
        <w:numPr>
          <w:ilvl w:val="0"/>
          <w:numId w:val="14"/>
        </w:numPr>
        <w:jc w:val="left"/>
        <w:rPr>
          <w:rFonts w:ascii="Arial" w:hAnsi="Arial"/>
          <w:color w:val="auto"/>
          <w:sz w:val="22"/>
          <w:szCs w:val="22"/>
        </w:rPr>
      </w:pPr>
      <w:r>
        <w:rPr>
          <w:rFonts w:ascii="Arial" w:hAnsi="Arial"/>
          <w:color w:val="auto"/>
          <w:sz w:val="22"/>
          <w:szCs w:val="22"/>
        </w:rPr>
        <w:t>deliberazione del Consiglio comunale n. 41 del 30.07.2024 per € 2.878,71;</w:t>
      </w:r>
    </w:p>
    <w:p>
      <w:pPr>
        <w:pStyle w:val="Normal"/>
        <w:numPr>
          <w:ilvl w:val="0"/>
          <w:numId w:val="14"/>
        </w:numPr>
        <w:jc w:val="left"/>
        <w:rPr>
          <w:rFonts w:ascii="Arial" w:hAnsi="Arial"/>
          <w:color w:val="auto"/>
          <w:sz w:val="22"/>
          <w:szCs w:val="22"/>
        </w:rPr>
      </w:pPr>
      <w:r>
        <w:rPr>
          <w:rFonts w:ascii="Arial" w:hAnsi="Arial"/>
          <w:color w:val="auto"/>
          <w:sz w:val="22"/>
          <w:szCs w:val="22"/>
        </w:rPr>
        <w:t>deliberazione del Consiglio comunale n. 53 del 30.09.2024 per € 3.001,18;</w:t>
      </w:r>
    </w:p>
    <w:p>
      <w:pPr>
        <w:pStyle w:val="Normal"/>
        <w:numPr>
          <w:ilvl w:val="0"/>
          <w:numId w:val="14"/>
        </w:numPr>
        <w:jc w:val="left"/>
        <w:rPr>
          <w:rFonts w:ascii="Arial" w:hAnsi="Arial"/>
          <w:color w:val="auto"/>
          <w:sz w:val="22"/>
          <w:szCs w:val="22"/>
        </w:rPr>
      </w:pPr>
      <w:r>
        <w:rPr>
          <w:rFonts w:ascii="Arial" w:hAnsi="Arial"/>
          <w:color w:val="auto"/>
          <w:sz w:val="22"/>
          <w:szCs w:val="22"/>
        </w:rPr>
        <w:t>deliberazione del Consiglio comunale n. 69 del 27.11.2024 per € 296,76</w:t>
      </w:r>
    </w:p>
    <w:p>
      <w:pPr>
        <w:pStyle w:val="Normal"/>
        <w:widowControl w:val="false"/>
        <w:overflowPunct w:val="true"/>
        <w:spacing w:lineRule="auto" w:line="240" w:before="0" w:after="0"/>
        <w:contextualSpacing/>
        <w:jc w:val="both"/>
        <w:rPr>
          <w:rFonts w:ascii="Arial" w:hAnsi="Arial"/>
          <w:color w:val="auto"/>
          <w:sz w:val="22"/>
          <w:szCs w:val="22"/>
        </w:rPr>
      </w:pPr>
      <w:r>
        <w:rPr>
          <w:rFonts w:eastAsia="Times New Roman" w:cs="Arial" w:ascii="Arial" w:hAnsi="Arial"/>
          <w:bCs/>
          <w:color w:val="auto" w:themeColor="text1" w:themeTint="bf"/>
          <w:sz w:val="22"/>
          <w:szCs w:val="22"/>
          <w:lang w:eastAsia="it-IT"/>
        </w:rPr>
        <w:t>Detti atti sono stati trasmessi alla competente Procura della Sezione Regionale della Corte dei conti ai sensi dell’art. 23 Legge 289/2002, c. 5.</w:t>
      </w:r>
    </w:p>
    <w:p>
      <w:pPr>
        <w:pStyle w:val="Normal"/>
        <w:widowControl w:val="false"/>
        <w:overflowPunct w:val="true"/>
        <w:spacing w:lineRule="auto" w:line="240" w:before="0" w:after="0"/>
        <w:contextualSpacing/>
        <w:jc w:val="both"/>
        <w:rPr>
          <w:rFonts w:ascii="Arial" w:hAnsi="Arial"/>
          <w:color w:val="auto"/>
          <w:sz w:val="22"/>
          <w:szCs w:val="22"/>
        </w:rPr>
      </w:pPr>
      <w:r>
        <w:rPr>
          <w:rFonts w:ascii="Arial" w:hAnsi="Arial"/>
          <w:color w:val="auto"/>
          <w:sz w:val="22"/>
          <w:szCs w:val="22"/>
        </w:rPr>
      </w:r>
    </w:p>
    <w:p>
      <w:pPr>
        <w:pStyle w:val="Normal"/>
        <w:widowControl w:val="false"/>
        <w:overflowPunct w:val="true"/>
        <w:spacing w:lineRule="auto" w:line="240" w:before="0" w:after="0"/>
        <w:contextualSpacing/>
        <w:jc w:val="both"/>
        <w:rPr>
          <w:rFonts w:ascii="Arial" w:hAnsi="Arial"/>
          <w:color w:val="auto"/>
          <w:sz w:val="22"/>
          <w:szCs w:val="22"/>
        </w:rPr>
      </w:pPr>
      <w:r>
        <w:rPr>
          <w:rFonts w:ascii="Arial" w:hAnsi="Arial"/>
          <w:color w:val="auto"/>
          <w:sz w:val="22"/>
          <w:szCs w:val="22"/>
        </w:rPr>
      </w:r>
    </w:p>
    <w:p>
      <w:pPr>
        <w:pStyle w:val="Normal"/>
        <w:widowControl w:val="false"/>
        <w:overflowPunct w:val="true"/>
        <w:spacing w:lineRule="auto" w:line="240" w:before="0" w:after="0"/>
        <w:contextualSpacing/>
        <w:jc w:val="both"/>
        <w:rPr>
          <w:rFonts w:ascii="Arial" w:hAnsi="Arial"/>
          <w:color w:val="auto"/>
          <w:sz w:val="22"/>
          <w:szCs w:val="22"/>
        </w:rPr>
      </w:pPr>
      <w:r>
        <w:rPr>
          <w:rFonts w:eastAsia="Times New Roman" w:cs="Arial" w:ascii="Arial" w:hAnsi="Arial"/>
          <w:bCs/>
          <w:color w:val="auto" w:themeColor="text1" w:themeTint="bf"/>
          <w:sz w:val="22"/>
          <w:szCs w:val="22"/>
          <w:lang w:eastAsia="it-IT"/>
        </w:rPr>
        <w:t xml:space="preserve">Si evidenzia la presenza al 31.12.2024 di debiti fuori bilancio derivanti da sentenze esecutive, riconosciuti e </w:t>
      </w:r>
      <w:r>
        <w:rPr>
          <w:rFonts w:ascii="Arial" w:hAnsi="Arial"/>
          <w:color w:val="auto"/>
          <w:sz w:val="22"/>
          <w:szCs w:val="22"/>
        </w:rPr>
        <w:t>finanziati dal Consiglio comunale con deliberazioni n. 3 - 4 - 5 del 19/02/2025 per complessivi 815,28.</w:t>
      </w:r>
    </w:p>
    <w:p>
      <w:pPr>
        <w:pStyle w:val="Normal"/>
        <w:spacing w:lineRule="auto" w:line="240" w:before="0" w:after="120"/>
        <w:rPr>
          <w:rFonts w:ascii="Arial" w:hAnsi="Arial" w:eastAsia="Times New Roman" w:cs="Arial"/>
          <w:color w:val="00B0F0"/>
          <w:szCs w:val="22"/>
          <w:lang w:eastAsia="it-IT"/>
        </w:rPr>
      </w:pPr>
      <w:r>
        <w:rPr>
          <w:rFonts w:eastAsia="Times New Roman" w:cs="Arial" w:ascii="Arial" w:hAnsi="Arial"/>
          <w:color w:val="00B0F0"/>
          <w:szCs w:val="22"/>
          <w:lang w:eastAsia="it-IT"/>
        </w:rPr>
      </w:r>
    </w:p>
    <w:p>
      <w:pPr>
        <w:pStyle w:val="Titolo1"/>
        <w:numPr>
          <w:ilvl w:val="0"/>
          <w:numId w:val="91"/>
        </w:numPr>
        <w:ind w:left="284" w:hanging="284"/>
        <w:rPr/>
      </w:pPr>
      <w:bookmarkStart w:id="83" w:name="_Toc192666991"/>
      <w:bookmarkStart w:id="84" w:name="_Toc130060189"/>
      <w:bookmarkStart w:id="85" w:name="_Toc130056261"/>
      <w:bookmarkStart w:id="86" w:name="_Toc127770148"/>
      <w:bookmarkStart w:id="87" w:name="_Toc98417449"/>
      <w:bookmarkStart w:id="88" w:name="_Toc379377471"/>
      <w:r>
        <w:rPr/>
        <w:t>Analisi indebitamento e gestione del debito</w:t>
      </w:r>
      <w:bookmarkEnd w:id="83"/>
      <w:bookmarkEnd w:id="84"/>
      <w:bookmarkEnd w:id="85"/>
      <w:bookmarkEnd w:id="86"/>
      <w:bookmarkEnd w:id="87"/>
      <w:bookmarkEnd w:id="88"/>
    </w:p>
    <w:p>
      <w:pPr>
        <w:pStyle w:val="Normal"/>
        <w:widowControl w:val="false"/>
        <w:numPr>
          <w:ilvl w:val="0"/>
          <w:numId w:val="0"/>
        </w:numPr>
        <w:overflowPunct w:val="true"/>
        <w:spacing w:lineRule="auto" w:line="240" w:before="12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L’Organo di revisione ha verificato che:</w:t>
      </w:r>
    </w:p>
    <w:p>
      <w:pPr>
        <w:pStyle w:val="Normal"/>
        <w:widowControl w:val="false"/>
        <w:numPr>
          <w:ilvl w:val="0"/>
          <w:numId w:val="9"/>
        </w:numPr>
        <w:suppressAutoHyphens w:val="true"/>
        <w:overflowPunct w:val="true"/>
        <w:spacing w:lineRule="auto" w:line="240" w:before="120" w:after="120"/>
        <w:ind w:left="2" w:hanging="2"/>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l’Ente</w:t>
      </w:r>
      <w:r>
        <w:rPr>
          <w:rFonts w:eastAsia="Times New Roman" w:cs="Arial" w:ascii="Arial" w:hAnsi="Arial"/>
          <w:b/>
          <w:bCs/>
          <w:i/>
          <w:iCs/>
          <w:color w:val="auto"/>
          <w:szCs w:val="22"/>
          <w:lang w:eastAsia="it-IT"/>
        </w:rPr>
        <w:t xml:space="preserve"> ha </w:t>
      </w:r>
      <w:r>
        <w:rPr>
          <w:rFonts w:eastAsia="Times New Roman" w:cs="Arial" w:ascii="Arial" w:hAnsi="Arial"/>
          <w:color w:val="auto"/>
          <w:szCs w:val="22"/>
          <w:lang w:eastAsia="it-IT"/>
        </w:rPr>
        <w:t>rispettato le condizioni poste dall’art. 203, co. 1, TUEL, come modificato dal d.lgs. n. 118/2011 e s.m.i.;</w:t>
      </w:r>
      <w:r>
        <w:rPr>
          <w:rFonts w:eastAsia="Times New Roman" w:cs="Arial" w:ascii="Arial" w:hAnsi="Arial"/>
          <w:i/>
          <w:iCs/>
          <w:color w:val="00B0F0"/>
          <w:szCs w:val="22"/>
          <w:lang w:eastAsia="it-IT"/>
        </w:rPr>
        <w:t xml:space="preserve"> </w:t>
      </w:r>
    </w:p>
    <w:p>
      <w:pPr>
        <w:pStyle w:val="Normal"/>
        <w:widowControl w:val="false"/>
        <w:numPr>
          <w:ilvl w:val="0"/>
          <w:numId w:val="0"/>
        </w:numPr>
        <w:suppressAutoHyphens w:val="true"/>
        <w:overflowPunct w:val="true"/>
        <w:spacing w:lineRule="auto" w:line="240" w:before="120" w:after="120"/>
        <w:ind w:left="2"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9"/>
        </w:numPr>
        <w:suppressAutoHyphens w:val="true"/>
        <w:overflowPunct w:val="true"/>
        <w:spacing w:lineRule="auto" w:line="240" w:before="120" w:after="120"/>
        <w:ind w:left="2" w:hanging="2"/>
        <w:textAlignment w:val="baseline"/>
        <w:rPr>
          <w:rFonts w:ascii="Arial" w:hAnsi="Arial"/>
          <w:color w:val="auto"/>
        </w:rPr>
      </w:pPr>
      <w:r>
        <w:rPr>
          <w:rFonts w:ascii="Arial" w:hAnsi="Arial"/>
          <w:color w:val="auto"/>
        </w:rPr>
        <w:t>l’Ente non ha  contratto nuovi mutui nell’esercizio 2024.</w:t>
      </w:r>
    </w:p>
    <w:p>
      <w:pPr>
        <w:pStyle w:val="Normal"/>
        <w:widowControl w:val="false"/>
        <w:suppressAutoHyphens w:val="true"/>
        <w:overflowPunct w:val="true"/>
        <w:spacing w:lineRule="auto" w:line="240" w:before="120" w:after="120"/>
        <w:ind w:left="2" w:hanging="2"/>
        <w:textAlignment w:val="baseline"/>
        <w:rPr>
          <w:rFonts w:ascii="Arial" w:hAnsi="Arial"/>
          <w:color w:val="auto"/>
        </w:rPr>
      </w:pPr>
      <w:r>
        <w:rPr>
          <w:rFonts w:ascii="Arial" w:hAnsi="Arial"/>
          <w:color w:val="auto"/>
        </w:rPr>
      </w:r>
    </w:p>
    <w:p>
      <w:pPr>
        <w:pStyle w:val="Normal"/>
        <w:widowControl w:val="false"/>
        <w:suppressAutoHyphens w:val="true"/>
        <w:overflowPunct w:val="true"/>
        <w:spacing w:lineRule="auto" w:line="240" w:before="120" w:after="120"/>
        <w:ind w:hanging="0"/>
        <w:textAlignment w:val="baseline"/>
        <w:rPr>
          <w:rFonts w:ascii="Arial" w:hAnsi="Arial"/>
          <w:color w:val="auto"/>
        </w:rPr>
      </w:pPr>
      <w:r>
        <w:rPr>
          <w:rFonts w:ascii="Arial" w:hAnsi="Arial"/>
          <w:color w:val="auto"/>
        </w:rPr>
      </w:r>
    </w:p>
    <w:p>
      <w:pPr>
        <w:pStyle w:val="Normal"/>
        <w:widowControl w:val="false"/>
        <w:suppressAutoHyphens w:val="true"/>
        <w:overflowPunct w:val="true"/>
        <w:spacing w:lineRule="auto" w:line="240" w:before="120" w:after="120"/>
        <w:ind w:left="2" w:hanging="2"/>
        <w:textAlignment w:val="baseline"/>
        <w:rPr>
          <w:rFonts w:ascii="Arial" w:hAnsi="Arial"/>
          <w:color w:val="auto"/>
        </w:rPr>
      </w:pPr>
      <w:r>
        <w:rPr>
          <w:rFonts w:ascii="Arial" w:hAnsi="Arial"/>
          <w:color w:val="auto"/>
        </w:rPr>
        <w:drawing>
          <wp:anchor behindDoc="0" distT="0" distB="0" distL="0" distR="0" simplePos="0" locked="0" layoutInCell="0" allowOverlap="1" relativeHeight="14">
            <wp:simplePos x="0" y="0"/>
            <wp:positionH relativeFrom="column">
              <wp:align>center</wp:align>
            </wp:positionH>
            <wp:positionV relativeFrom="paragraph">
              <wp:posOffset>635</wp:posOffset>
            </wp:positionV>
            <wp:extent cx="5759450" cy="4170680"/>
            <wp:effectExtent l="0" t="0" r="0" b="0"/>
            <wp:wrapSquare wrapText="largest"/>
            <wp:docPr id="13" name="Immagin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11" descr=""/>
                    <pic:cNvPicPr>
                      <a:picLocks noChangeAspect="1" noChangeArrowheads="1"/>
                    </pic:cNvPicPr>
                  </pic:nvPicPr>
                  <pic:blipFill>
                    <a:blip r:embed="rId16"/>
                    <a:stretch>
                      <a:fillRect/>
                    </a:stretch>
                  </pic:blipFill>
                  <pic:spPr bwMode="auto">
                    <a:xfrm>
                      <a:off x="0" y="0"/>
                      <a:ext cx="5759450" cy="4170680"/>
                    </a:xfrm>
                    <a:prstGeom prst="rect">
                      <a:avLst/>
                    </a:prstGeom>
                  </pic:spPr>
                </pic:pic>
              </a:graphicData>
            </a:graphic>
          </wp:anchor>
        </w:drawing>
      </w:r>
    </w:p>
    <w:p>
      <w:pPr>
        <w:pStyle w:val="Normal"/>
        <w:widowControl w:val="false"/>
        <w:suppressAutoHyphens w:val="true"/>
        <w:overflowPunct w:val="true"/>
        <w:spacing w:lineRule="auto" w:line="240" w:before="120" w:after="120"/>
        <w:ind w:left="2" w:hanging="2"/>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suppressAutoHyphens w:val="true"/>
        <w:overflowPunct w:val="true"/>
        <w:spacing w:lineRule="auto" w:line="240" w:before="120" w:after="120"/>
        <w:ind w:left="2" w:hanging="2"/>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suppressAutoHyphens w:val="true"/>
        <w:overflowPunct w:val="true"/>
        <w:spacing w:lineRule="auto" w:line="240" w:before="120" w:after="120"/>
        <w:ind w:left="2" w:hanging="2"/>
        <w:textAlignment w:val="baseline"/>
        <w:rPr>
          <w:rFonts w:ascii="Arial" w:hAnsi="Arial"/>
          <w:i w:val="false"/>
          <w:i w:val="false"/>
          <w:iCs w:val="false"/>
          <w:color w:val="auto"/>
          <w:sz w:val="22"/>
          <w:szCs w:val="22"/>
        </w:rPr>
      </w:pPr>
      <w:r>
        <w:rPr>
          <w:rFonts w:eastAsia="Times New Roman" w:cs="Arial" w:ascii="Arial" w:hAnsi="Arial"/>
          <w:i w:val="false"/>
          <w:iCs w:val="false"/>
          <w:color w:val="auto"/>
          <w:sz w:val="22"/>
          <w:szCs w:val="22"/>
          <w:lang w:eastAsia="it-IT"/>
        </w:rPr>
        <w:t>Nella tabella seguente è dettagliato il debito complessivo:</w:t>
      </w:r>
    </w:p>
    <w:p>
      <w:pPr>
        <w:pStyle w:val="Normal"/>
        <w:widowControl w:val="false"/>
        <w:suppressAutoHyphens w:val="true"/>
        <w:overflowPunct w:val="true"/>
        <w:spacing w:lineRule="auto" w:line="240" w:before="120" w:after="120"/>
        <w:ind w:left="2" w:hanging="2"/>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suppressAutoHyphens w:val="true"/>
        <w:overflowPunct w:val="true"/>
        <w:spacing w:lineRule="auto" w:line="240" w:before="120" w:after="120"/>
        <w:ind w:left="2" w:hanging="2"/>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suppressAutoHyphens w:val="true"/>
        <w:overflowPunct w:val="true"/>
        <w:spacing w:lineRule="auto" w:line="240" w:before="120" w:after="120"/>
        <w:ind w:left="2" w:hanging="2"/>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suppressAutoHyphens w:val="true"/>
        <w:overflowPunct w:val="true"/>
        <w:spacing w:lineRule="auto" w:line="240" w:before="120" w:after="120"/>
        <w:ind w:left="2" w:hanging="2"/>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suppressAutoHyphens w:val="true"/>
        <w:overflowPunct w:val="true"/>
        <w:spacing w:lineRule="auto" w:line="240" w:before="120" w:after="120"/>
        <w:ind w:left="2" w:hanging="2"/>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suppressAutoHyphens w:val="true"/>
        <w:overflowPunct w:val="true"/>
        <w:spacing w:lineRule="auto" w:line="240" w:before="120" w:after="120"/>
        <w:ind w:left="2" w:hanging="2"/>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drawing>
          <wp:anchor behindDoc="0" distT="0" distB="0" distL="0" distR="0" simplePos="0" locked="0" layoutInCell="0" allowOverlap="1" relativeHeight="15">
            <wp:simplePos x="0" y="0"/>
            <wp:positionH relativeFrom="column">
              <wp:align>center</wp:align>
            </wp:positionH>
            <wp:positionV relativeFrom="paragraph">
              <wp:posOffset>635</wp:posOffset>
            </wp:positionV>
            <wp:extent cx="6168390" cy="1341755"/>
            <wp:effectExtent l="0" t="0" r="0" b="0"/>
            <wp:wrapSquare wrapText="largest"/>
            <wp:docPr id="14" name="Immagin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12" descr=""/>
                    <pic:cNvPicPr>
                      <a:picLocks noChangeAspect="1" noChangeArrowheads="1"/>
                    </pic:cNvPicPr>
                  </pic:nvPicPr>
                  <pic:blipFill>
                    <a:blip r:embed="rId17"/>
                    <a:stretch>
                      <a:fillRect/>
                    </a:stretch>
                  </pic:blipFill>
                  <pic:spPr bwMode="auto">
                    <a:xfrm>
                      <a:off x="0" y="0"/>
                      <a:ext cx="6168390" cy="1341755"/>
                    </a:xfrm>
                    <a:prstGeom prst="rect">
                      <a:avLst/>
                    </a:prstGeom>
                  </pic:spPr>
                </pic:pic>
              </a:graphicData>
            </a:graphic>
          </wp:anchor>
        </w:drawing>
      </w:r>
    </w:p>
    <w:p>
      <w:pPr>
        <w:pStyle w:val="Normal"/>
        <w:widowControl w:val="false"/>
        <w:suppressAutoHyphens w:val="true"/>
        <w:overflowPunct w:val="true"/>
        <w:spacing w:lineRule="auto" w:line="240" w:before="120" w:after="120"/>
        <w:ind w:left="2" w:hanging="2"/>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Titolo2"/>
        <w:numPr>
          <w:ilvl w:val="1"/>
          <w:numId w:val="92"/>
        </w:numPr>
        <w:ind w:left="851" w:hanging="491"/>
        <w:rPr/>
      </w:pPr>
      <w:bookmarkStart w:id="89" w:name="_Toc192666992"/>
      <w:r>
        <w:rPr/>
        <w:t>Concessione di garanzie o altre operazioni di finanziamento</w:t>
      </w:r>
      <w:bookmarkEnd w:id="89"/>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L’Organo di revisione ha verificato che l’Ente </w:t>
      </w:r>
      <w:r>
        <w:rPr>
          <w:rFonts w:eastAsia="Times New Roman" w:cs="Arial" w:ascii="Arial" w:hAnsi="Arial"/>
          <w:b/>
          <w:bCs/>
          <w:i/>
          <w:iCs/>
          <w:color w:val="auto"/>
          <w:szCs w:val="22"/>
          <w:lang w:eastAsia="it-IT"/>
        </w:rPr>
        <w:t>non ha in essere</w:t>
      </w:r>
      <w:r>
        <w:rPr>
          <w:rFonts w:eastAsia="Times New Roman" w:cs="Arial" w:ascii="Arial" w:hAnsi="Arial"/>
          <w:color w:val="auto"/>
          <w:szCs w:val="22"/>
          <w:lang w:eastAsia="it-IT"/>
        </w:rPr>
        <w:t xml:space="preserve"> garanzie (quali fideiussioni o lettere di patronage) o altre operazioni di finanziamento a favore dei propri organismi partecipati e/o a favore di soggetti diversi dagli organismi partecipati.</w:t>
      </w:r>
    </w:p>
    <w:p>
      <w:pPr>
        <w:pStyle w:val="Normal"/>
        <w:widowControl w:val="false"/>
        <w:overflowPunct w:val="true"/>
        <w:spacing w:lineRule="auto" w:line="240" w:before="0" w:after="120"/>
        <w:ind w:left="780" w:hanging="0"/>
        <w:jc w:val="center"/>
        <w:textAlignment w:val="baseline"/>
        <w:rPr>
          <w:rFonts w:ascii="Arial" w:hAnsi="Arial" w:eastAsia="Times New Roman" w:cs="Arial"/>
          <w:color w:val="auto"/>
          <w:sz w:val="20"/>
          <w:szCs w:val="20"/>
          <w:lang w:eastAsia="it-IT"/>
        </w:rPr>
      </w:pPr>
      <w:r>
        <w:rPr>
          <w:rFonts w:eastAsia="Times New Roman" w:cs="Arial" w:ascii="Arial" w:hAnsi="Arial"/>
          <w:color w:val="auto"/>
          <w:sz w:val="20"/>
          <w:szCs w:val="20"/>
          <w:lang w:eastAsia="it-IT"/>
        </w:rPr>
      </w:r>
    </w:p>
    <w:p>
      <w:pPr>
        <w:pStyle w:val="Normal"/>
        <w:widowControl w:val="false"/>
        <w:overflowPunct w:val="true"/>
        <w:spacing w:lineRule="auto" w:line="240" w:before="0" w:after="120"/>
        <w:textAlignment w:val="baseline"/>
        <w:rPr>
          <w:rFonts w:ascii="Arial" w:hAnsi="Arial" w:eastAsia="Times New Roman" w:cs="Arial"/>
          <w:color w:val="auto"/>
          <w:sz w:val="20"/>
          <w:szCs w:val="20"/>
          <w:lang w:eastAsia="it-IT"/>
        </w:rPr>
      </w:pPr>
      <w:r>
        <w:rPr>
          <w:rFonts w:eastAsia="Times New Roman" w:cs="Arial" w:ascii="Arial" w:hAnsi="Arial"/>
          <w:color w:val="auto"/>
          <w:sz w:val="20"/>
          <w:szCs w:val="20"/>
          <w:lang w:eastAsia="it-IT"/>
        </w:rPr>
      </w:r>
    </w:p>
    <w:p>
      <w:pPr>
        <w:pStyle w:val="Titolo2"/>
        <w:numPr>
          <w:ilvl w:val="1"/>
          <w:numId w:val="93"/>
        </w:numPr>
        <w:ind w:left="851" w:hanging="491"/>
        <w:rPr/>
      </w:pPr>
      <w:bookmarkStart w:id="90" w:name="_Toc192666993"/>
      <w:r>
        <w:rPr/>
        <w:t>Strumenti di finanza derivata</w:t>
      </w:r>
      <w:bookmarkEnd w:id="90"/>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L’Ente </w:t>
      </w:r>
      <w:r>
        <w:rPr>
          <w:rFonts w:eastAsia="Times New Roman" w:cs="Arial" w:ascii="Arial" w:hAnsi="Arial"/>
          <w:b/>
          <w:bCs/>
          <w:i/>
          <w:iCs/>
          <w:color w:val="auto"/>
          <w:szCs w:val="22"/>
          <w:lang w:eastAsia="it-IT"/>
        </w:rPr>
        <w:t xml:space="preserve">non ha </w:t>
      </w:r>
      <w:r>
        <w:rPr>
          <w:rFonts w:eastAsia="Times New Roman" w:cs="Arial" w:ascii="Arial" w:hAnsi="Arial"/>
          <w:color w:val="auto"/>
          <w:szCs w:val="22"/>
          <w:lang w:eastAsia="it-IT"/>
        </w:rPr>
        <w:t>in corso contratti relativi a strumenti finanziari derivati.</w:t>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Titolo1"/>
        <w:numPr>
          <w:ilvl w:val="0"/>
          <w:numId w:val="94"/>
        </w:numPr>
        <w:ind w:left="284" w:hanging="284"/>
        <w:rPr/>
      </w:pPr>
      <w:bookmarkStart w:id="91" w:name="_Toc192666994"/>
      <w:bookmarkStart w:id="92" w:name="_Hlk67548016"/>
      <w:bookmarkEnd w:id="92"/>
      <w:r>
        <w:rPr/>
        <w:t>Risultanze dei fondi connessi all’emergenza sanitaria</w:t>
      </w:r>
      <w:bookmarkEnd w:id="91"/>
      <w:r>
        <w:rPr/>
        <w:t xml:space="preserve"> </w:t>
      </w:r>
    </w:p>
    <w:p>
      <w:pPr>
        <w:pStyle w:val="Normal"/>
        <w:spacing w:lineRule="auto" w:line="240" w:before="0" w:after="0"/>
        <w:rPr>
          <w:rFonts w:ascii="Arial" w:hAnsi="Arial" w:eastAsia="Times New Roman" w:cs="Arial"/>
          <w:color w:val="00B0F0"/>
          <w:sz w:val="20"/>
          <w:szCs w:val="20"/>
          <w:lang w:eastAsia="it-IT"/>
        </w:rPr>
      </w:pPr>
      <w:r>
        <w:rPr>
          <w:rFonts w:eastAsia="Times New Roman" w:cs="Arial" w:ascii="Arial" w:hAnsi="Arial"/>
          <w:color w:val="00B0F0"/>
          <w:sz w:val="20"/>
          <w:szCs w:val="20"/>
          <w:lang w:eastAsia="it-IT"/>
        </w:rPr>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t>L’Organo di revisione ha verificato che:</w:t>
      </w:r>
    </w:p>
    <w:p>
      <w:pPr>
        <w:pStyle w:val="ListParagraph"/>
        <w:numPr>
          <w:ilvl w:val="0"/>
          <w:numId w:val="9"/>
        </w:numPr>
        <w:spacing w:lineRule="auto" w:line="240" w:before="0" w:after="0"/>
        <w:contextualSpacing/>
        <w:jc w:val="both"/>
        <w:rPr>
          <w:rFonts w:ascii="Arial" w:hAnsi="Arial" w:eastAsia="Times New Roman" w:cs="Arial"/>
          <w:b/>
          <w:b/>
          <w:bCs/>
          <w:i/>
          <w:i/>
          <w:iCs/>
          <w:lang w:eastAsia="it-IT"/>
        </w:rPr>
      </w:pPr>
      <w:r>
        <w:rPr>
          <w:rFonts w:eastAsia="Times New Roman" w:cs="Arial" w:ascii="Arial" w:hAnsi="Arial"/>
          <w:lang w:eastAsia="it-IT"/>
        </w:rPr>
        <w:t xml:space="preserve">nel caso di accertamento dai dati riepilogativi della verifica a consuntivo “risorse Covid” di cui agli allegati C e D del DM 19 giugno 2024 di un’eccedenza complessiva di risorse, l’Ente </w:t>
      </w:r>
      <w:r>
        <w:rPr>
          <w:rFonts w:eastAsia="Times New Roman" w:cs="Arial" w:ascii="Arial" w:hAnsi="Arial"/>
          <w:b/>
          <w:bCs/>
          <w:i/>
          <w:iCs/>
          <w:lang w:eastAsia="it-IT"/>
        </w:rPr>
        <w:t xml:space="preserve">ha </w:t>
      </w:r>
      <w:r>
        <w:rPr>
          <w:rFonts w:eastAsia="Times New Roman" w:cs="Arial" w:ascii="Arial" w:hAnsi="Arial"/>
          <w:lang w:eastAsia="it-IT"/>
        </w:rPr>
        <w:t>vincolato</w:t>
      </w:r>
      <w:r>
        <w:rPr>
          <w:rFonts w:eastAsia="Times New Roman" w:cs="Arial" w:ascii="Arial" w:hAnsi="Arial"/>
          <w:b/>
          <w:bCs/>
          <w:i/>
          <w:iCs/>
          <w:lang w:eastAsia="it-IT"/>
        </w:rPr>
        <w:t xml:space="preserve"> </w:t>
      </w:r>
      <w:r>
        <w:rPr>
          <w:rFonts w:eastAsia="Times New Roman" w:cs="Arial" w:ascii="Arial" w:hAnsi="Arial"/>
          <w:lang w:eastAsia="it-IT"/>
        </w:rPr>
        <w:t>nel risultato di amministrazione l’importo corrispondente alle somme da acquisire al bilancio dello Stato nel quadriennio 2024-2027 al netto della quota annuale restituita nel 2024;</w:t>
      </w:r>
    </w:p>
    <w:p>
      <w:pPr>
        <w:pStyle w:val="ListParagraph"/>
        <w:numPr>
          <w:ilvl w:val="0"/>
          <w:numId w:val="9"/>
        </w:numPr>
        <w:spacing w:lineRule="auto" w:line="240" w:before="0" w:after="0"/>
        <w:contextualSpacing/>
        <w:jc w:val="both"/>
        <w:rPr>
          <w:rFonts w:ascii="Arial" w:hAnsi="Arial" w:eastAsia="Times New Roman" w:cs="Arial"/>
          <w:b/>
          <w:b/>
          <w:bCs/>
          <w:i/>
          <w:i/>
          <w:iCs/>
          <w:lang w:eastAsia="it-IT"/>
        </w:rPr>
      </w:pPr>
      <w:r>
        <w:rPr>
          <w:rFonts w:eastAsia="Times New Roman" w:cs="Arial" w:ascii="Arial" w:hAnsi="Arial"/>
          <w:lang w:eastAsia="it-IT"/>
        </w:rPr>
        <w:t>l’Ente ha contabilizzato correttamente le operazioni di restituzione in base a quanto previsto dall’art. 3 del DM citato.</w:t>
      </w:r>
    </w:p>
    <w:p>
      <w:pPr>
        <w:pStyle w:val="ListParagraph"/>
        <w:widowControl/>
        <w:suppressAutoHyphens w:val="true"/>
        <w:bidi w:val="0"/>
        <w:spacing w:lineRule="auto" w:line="240" w:before="0" w:after="0"/>
        <w:ind w:left="0" w:right="0" w:hanging="340"/>
        <w:contextualSpacing/>
        <w:jc w:val="both"/>
        <w:rPr>
          <w:rFonts w:ascii="Arial" w:hAnsi="Arial" w:eastAsia="Times New Roman" w:cs="Arial"/>
          <w:b/>
          <w:b/>
          <w:bCs/>
          <w:i/>
          <w:i/>
          <w:iCs/>
          <w:lang w:eastAsia="it-IT"/>
        </w:rPr>
      </w:pPr>
      <w:r>
        <w:rPr>
          <w:rFonts w:eastAsia="Times New Roman" w:cs="Arial" w:ascii="Arial" w:hAnsi="Arial"/>
          <w:b/>
          <w:bCs/>
          <w:i/>
          <w:iCs/>
          <w:lang w:eastAsia="it-IT"/>
        </w:rPr>
      </w:r>
    </w:p>
    <w:p>
      <w:pPr>
        <w:pStyle w:val="ListParagraph"/>
        <w:widowControl/>
        <w:suppressAutoHyphens w:val="true"/>
        <w:bidi w:val="0"/>
        <w:spacing w:lineRule="auto" w:line="240" w:before="0" w:after="0"/>
        <w:ind w:left="0" w:right="0" w:hanging="340"/>
        <w:contextualSpacing/>
        <w:jc w:val="both"/>
        <w:rPr>
          <w:rFonts w:ascii="Arial" w:hAnsi="Arial"/>
        </w:rPr>
      </w:pPr>
      <w:r>
        <w:rPr>
          <w:rFonts w:ascii="Arial" w:hAnsi="Arial"/>
        </w:rPr>
        <w:t xml:space="preserve">Al 31.12.2024 risulta accantonata la quota di € 5.558,25, comprensiva delle annualità di € 1.852,75 dal 2025 al 2027, così come previsto dall’art. 3 del DM citato. </w:t>
      </w:r>
    </w:p>
    <w:p>
      <w:pPr>
        <w:pStyle w:val="ListParagraph"/>
        <w:widowControl/>
        <w:suppressAutoHyphens w:val="true"/>
        <w:bidi w:val="0"/>
        <w:spacing w:lineRule="auto" w:line="240" w:before="0" w:after="0"/>
        <w:ind w:left="0" w:right="0" w:hanging="340"/>
        <w:contextualSpacing/>
        <w:jc w:val="both"/>
        <w:rPr>
          <w:rFonts w:ascii="Arial" w:hAnsi="Arial"/>
        </w:rPr>
      </w:pPr>
      <w:r>
        <w:rPr>
          <w:rFonts w:ascii="Arial" w:hAnsi="Arial"/>
        </w:rPr>
      </w:r>
    </w:p>
    <w:p>
      <w:pPr>
        <w:pStyle w:val="ListParagraph"/>
        <w:widowControl/>
        <w:suppressAutoHyphens w:val="true"/>
        <w:bidi w:val="0"/>
        <w:spacing w:lineRule="auto" w:line="240" w:before="0" w:after="0"/>
        <w:ind w:left="0" w:right="0" w:hanging="340"/>
        <w:contextualSpacing/>
        <w:jc w:val="both"/>
        <w:rPr>
          <w:rFonts w:ascii="Arial" w:hAnsi="Arial"/>
        </w:rPr>
      </w:pPr>
      <w:r>
        <w:rPr>
          <w:rFonts w:ascii="Arial" w:hAnsi="Arial"/>
        </w:rPr>
        <w:t>La quota per il 2024, sempre pari ad € 1.852,75, risulta accertata nell’esercizio 2024 e restituita, come da ordinativo di pagamento n. 944 del 28/02/2025.</w:t>
      </w:r>
    </w:p>
    <w:p>
      <w:pPr>
        <w:pStyle w:val="Normal"/>
        <w:spacing w:lineRule="auto" w:line="240" w:before="0" w:after="0"/>
        <w:rPr>
          <w:rFonts w:ascii="Arial" w:hAnsi="Arial" w:eastAsia="Times New Roman" w:cs="Arial"/>
          <w:b/>
          <w:b/>
          <w:bCs/>
          <w:i/>
          <w:i/>
          <w:iCs/>
          <w:lang w:eastAsia="it-IT"/>
        </w:rPr>
      </w:pPr>
      <w:r>
        <w:rPr>
          <w:rFonts w:eastAsia="Times New Roman" w:cs="Arial" w:ascii="Arial" w:hAnsi="Arial"/>
          <w:b/>
          <w:bCs/>
          <w:i/>
          <w:iCs/>
          <w:lang w:eastAsia="it-IT"/>
        </w:rPr>
      </w:r>
    </w:p>
    <w:p>
      <w:pPr>
        <w:pStyle w:val="Normal"/>
        <w:spacing w:lineRule="auto" w:line="240" w:before="0" w:after="0"/>
        <w:rPr>
          <w:rFonts w:ascii="Arial" w:hAnsi="Arial" w:eastAsia="Times New Roman" w:cs="Arial"/>
          <w:i/>
          <w:i/>
          <w:iCs/>
          <w:color w:val="00B0F0"/>
          <w:lang w:eastAsia="it-IT"/>
        </w:rPr>
      </w:pPr>
      <w:r>
        <w:rPr>
          <w:rFonts w:eastAsia="Times New Roman" w:cs="Arial" w:ascii="Arial" w:hAnsi="Arial"/>
          <w:i/>
          <w:iCs/>
          <w:color w:val="00B0F0"/>
          <w:lang w:eastAsia="it-IT"/>
        </w:rPr>
      </w:r>
    </w:p>
    <w:p>
      <w:pPr>
        <w:pStyle w:val="Titolo1"/>
        <w:numPr>
          <w:ilvl w:val="0"/>
          <w:numId w:val="95"/>
        </w:numPr>
        <w:ind w:left="284" w:hanging="284"/>
        <w:rPr/>
      </w:pPr>
      <w:bookmarkStart w:id="93" w:name="_Toc379377465"/>
      <w:bookmarkStart w:id="94" w:name="_Toc192666995"/>
      <w:bookmarkStart w:id="95" w:name="Copia_di__Hlk67548016_1"/>
      <w:bookmarkEnd w:id="95"/>
      <w:r>
        <w:rPr/>
        <w:t>Rapporti con organismi partecipati</w:t>
      </w:r>
      <w:bookmarkEnd w:id="93"/>
      <w:bookmarkEnd w:id="94"/>
    </w:p>
    <w:p>
      <w:pPr>
        <w:pStyle w:val="Titolo2"/>
        <w:numPr>
          <w:ilvl w:val="1"/>
          <w:numId w:val="96"/>
        </w:numPr>
        <w:ind w:left="851" w:hanging="491"/>
        <w:rPr/>
      </w:pPr>
      <w:bookmarkStart w:id="96" w:name="_Toc192666996"/>
      <w:bookmarkStart w:id="97" w:name="_Toc379377479"/>
      <w:bookmarkEnd w:id="97"/>
      <w:r>
        <w:rPr/>
        <w:t>Verifica rapporti di debito e credito con i propri enti strumentali e le società controllate e partecipate</w:t>
      </w:r>
      <w:bookmarkEnd w:id="96"/>
      <w:r>
        <w:rPr/>
        <w:t xml:space="preserve"> </w:t>
      </w:r>
    </w:p>
    <w:p>
      <w:pPr>
        <w:pStyle w:val="Normal"/>
        <w:suppressAutoHyphens w:val="false"/>
        <w:spacing w:lineRule="auto" w:line="240"/>
        <w:ind w:left="0" w:right="0" w:hanging="0"/>
        <w:jc w:val="both"/>
        <w:textAlignment w:val="baseline"/>
        <w:rPr>
          <w:color w:val="auto"/>
          <w:sz w:val="22"/>
          <w:szCs w:val="22"/>
        </w:rPr>
      </w:pPr>
      <w:r>
        <w:rPr>
          <w:rFonts w:eastAsia="Times New Roman" w:cs="Arial" w:ascii="Arial" w:hAnsi="Arial"/>
          <w:color w:val="auto" w:themeColor="text1" w:themeTint="bf"/>
          <w:position w:val="0"/>
          <w:sz w:val="22"/>
          <w:sz w:val="22"/>
          <w:szCs w:val="22"/>
          <w:vertAlign w:val="baseline"/>
          <w:lang w:eastAsia="it-IT"/>
        </w:rPr>
        <w:t>L’Organo di revisione, ai sensi dell’art.11, comma 6 lett. J del d.lgs.118/2011, prende atto che risulta in corso la conciliazione dei rapporti creditori e debitori tra l’Ente e gli organismi partecipati, evidenziando che le attestazioni relative ai saldi 2024 dovranno pervenire nel corso dell’anno 2024, ad avvenuta certificazione dei relativi bilanci.</w:t>
      </w:r>
    </w:p>
    <w:p>
      <w:pPr>
        <w:pStyle w:val="Normal"/>
        <w:suppressAutoHyphens w:val="false"/>
        <w:spacing w:lineRule="auto" w:line="240"/>
        <w:ind w:left="0" w:right="0" w:hanging="0"/>
        <w:jc w:val="both"/>
        <w:textAlignment w:val="baseline"/>
        <w:rPr>
          <w:color w:val="auto"/>
          <w:sz w:val="22"/>
          <w:szCs w:val="22"/>
        </w:rPr>
      </w:pPr>
      <w:r>
        <w:rPr>
          <w:color w:val="auto"/>
          <w:sz w:val="22"/>
          <w:szCs w:val="22"/>
        </w:rPr>
      </w:r>
    </w:p>
    <w:p>
      <w:pPr>
        <w:pStyle w:val="Normal"/>
        <w:widowControl w:val="false"/>
        <w:suppressAutoHyphens w:val="false"/>
        <w:overflowPunct w:val="false"/>
        <w:spacing w:lineRule="auto" w:line="240" w:before="0" w:after="120"/>
        <w:ind w:left="0" w:right="0" w:hanging="0"/>
        <w:jc w:val="both"/>
        <w:textAlignment w:val="baseline"/>
        <w:rPr>
          <w:rFonts w:ascii="Arial" w:hAnsi="Arial" w:cs="Arial"/>
          <w:b/>
          <w:b/>
          <w:color w:val="auto"/>
          <w:position w:val="0"/>
          <w:sz w:val="22"/>
          <w:sz w:val="22"/>
          <w:szCs w:val="22"/>
          <w:u w:val="single"/>
          <w:vertAlign w:val="baseline"/>
        </w:rPr>
      </w:pPr>
      <w:r>
        <w:rPr>
          <w:rFonts w:cs="Arial" w:ascii="Arial" w:hAnsi="Arial"/>
          <w:b/>
          <w:color w:val="auto" w:themeColor="text1" w:themeTint="bf"/>
          <w:position w:val="0"/>
          <w:sz w:val="22"/>
          <w:sz w:val="22"/>
          <w:szCs w:val="22"/>
          <w:u w:val="single"/>
          <w:vertAlign w:val="baseline"/>
        </w:rPr>
        <w:t>Esternalizzazione dei servizi</w:t>
      </w:r>
    </w:p>
    <w:p>
      <w:pPr>
        <w:pStyle w:val="Normal"/>
        <w:ind w:left="0" w:right="0" w:hanging="2"/>
        <w:jc w:val="both"/>
        <w:rPr>
          <w:rFonts w:ascii="Arial" w:hAnsi="Arial"/>
          <w:color w:val="auto"/>
          <w:sz w:val="22"/>
          <w:szCs w:val="22"/>
        </w:rPr>
      </w:pPr>
      <w:r>
        <w:rPr>
          <w:rFonts w:eastAsia="Times New Roman" w:cs="Arial" w:ascii="Arial" w:hAnsi="Arial"/>
          <w:color w:val="auto" w:themeColor="text1" w:themeTint="bf"/>
          <w:position w:val="0"/>
          <w:sz w:val="22"/>
          <w:sz w:val="22"/>
          <w:szCs w:val="22"/>
          <w:vertAlign w:val="baseline"/>
          <w:lang w:eastAsia="it-IT"/>
        </w:rPr>
        <w:t>L’Ente, nel corso dell’esercizio 2024, non ha proceduto a esternalizzare alcun servizio pubblico locale.</w:t>
      </w:r>
    </w:p>
    <w:p>
      <w:pPr>
        <w:pStyle w:val="Normal"/>
        <w:spacing w:lineRule="auto" w:line="240" w:before="0" w:after="0"/>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Titolo2"/>
        <w:numPr>
          <w:ilvl w:val="1"/>
          <w:numId w:val="97"/>
        </w:numPr>
        <w:ind w:left="851" w:hanging="491"/>
        <w:rPr/>
      </w:pPr>
      <w:bookmarkStart w:id="98" w:name="_Toc192666997"/>
      <w:r>
        <w:rPr/>
        <w:t>Costituzione di società e acquisto di partecipazioni societarie</w:t>
      </w:r>
      <w:bookmarkEnd w:id="98"/>
    </w:p>
    <w:p>
      <w:pPr>
        <w:pStyle w:val="Normal"/>
        <w:widowControl w:val="false"/>
        <w:overflowPunct w:val="true"/>
        <w:spacing w:lineRule="auto" w:line="240" w:before="0" w:after="0"/>
        <w:textAlignment w:val="baseline"/>
        <w:rPr>
          <w:rFonts w:ascii="Arial" w:hAnsi="Arial" w:eastAsia="Times New Roman" w:cs="Arial"/>
          <w:color w:val="auto"/>
          <w:szCs w:val="22"/>
          <w:lang w:eastAsia="it-IT"/>
        </w:rPr>
      </w:pPr>
      <w:r>
        <w:rPr>
          <w:rFonts w:eastAsia="Times New Roman" w:cs="Arial" w:ascii="Arial" w:hAnsi="Arial"/>
          <w:color w:val="auto" w:themeColor="text1" w:themeTint="bf"/>
          <w:szCs w:val="22"/>
          <w:lang w:eastAsia="it-IT"/>
        </w:rPr>
        <w:t xml:space="preserve">L’Organo di revisione ha verificato che l’Ente, nel corso dell’esercizio 2024, </w:t>
      </w:r>
      <w:r>
        <w:rPr>
          <w:rFonts w:eastAsia="Times New Roman" w:cs="Arial" w:ascii="Arial" w:hAnsi="Arial"/>
          <w:b/>
          <w:i/>
          <w:color w:val="auto" w:themeColor="text1" w:themeTint="bf"/>
          <w:szCs w:val="22"/>
          <w:lang w:eastAsia="it-IT"/>
        </w:rPr>
        <w:t xml:space="preserve">non ha </w:t>
      </w:r>
      <w:r>
        <w:rPr>
          <w:rFonts w:eastAsia="Times New Roman" w:cs="Arial" w:ascii="Arial" w:hAnsi="Arial"/>
          <w:bCs/>
          <w:iCs/>
          <w:color w:val="auto" w:themeColor="text1" w:themeTint="bf"/>
          <w:szCs w:val="22"/>
          <w:lang w:eastAsia="it-IT"/>
        </w:rPr>
        <w:t>proceduto</w:t>
      </w:r>
      <w:r>
        <w:rPr>
          <w:rFonts w:eastAsia="Times New Roman" w:cs="Arial" w:ascii="Arial" w:hAnsi="Arial"/>
          <w:color w:val="auto" w:themeColor="text1" w:themeTint="bf"/>
          <w:szCs w:val="22"/>
          <w:lang w:eastAsia="it-IT"/>
        </w:rPr>
        <w:t xml:space="preserve"> alla costituzione di una nuova/nuove società o all’acquisizione di una nuova/nuove partecipazioni societarie tenendo conto della procedura del novellato art.5 del TUSP. </w:t>
      </w:r>
    </w:p>
    <w:p>
      <w:pPr>
        <w:pStyle w:val="Normal"/>
        <w:widowControl w:val="false"/>
        <w:overflowPunct w:val="true"/>
        <w:spacing w:lineRule="auto" w:line="240" w:before="0" w:after="120"/>
        <w:textAlignment w:val="baseline"/>
        <w:rPr>
          <w:rFonts w:ascii="Arial" w:hAnsi="Arial" w:eastAsia="Times New Roman" w:cs="Arial"/>
          <w:color w:val="auto"/>
          <w:sz w:val="20"/>
          <w:szCs w:val="20"/>
          <w:lang w:eastAsia="it-IT"/>
        </w:rPr>
      </w:pPr>
      <w:r>
        <w:rPr>
          <w:rFonts w:eastAsia="Times New Roman" w:cs="Arial" w:ascii="Arial" w:hAnsi="Arial"/>
          <w:color w:val="auto"/>
          <w:sz w:val="20"/>
          <w:szCs w:val="20"/>
          <w:lang w:eastAsia="it-IT"/>
        </w:rPr>
      </w:r>
    </w:p>
    <w:p>
      <w:pPr>
        <w:pStyle w:val="Titolo2"/>
        <w:numPr>
          <w:ilvl w:val="1"/>
          <w:numId w:val="98"/>
        </w:numPr>
        <w:ind w:left="851" w:hanging="491"/>
        <w:rPr/>
      </w:pPr>
      <w:bookmarkStart w:id="99" w:name="_Toc192666998"/>
      <w:r>
        <w:rPr/>
        <w:t>Razionalizzazione periodica delle partecipazioni pubbliche</w:t>
      </w:r>
      <w:bookmarkEnd w:id="99"/>
      <w:r>
        <w:rPr/>
        <w:t xml:space="preserve"> </w:t>
      </w:r>
    </w:p>
    <w:p>
      <w:pPr>
        <w:pStyle w:val="Normal"/>
        <w:widowControl w:val="false"/>
        <w:overflowPunct w:val="true"/>
        <w:spacing w:lineRule="auto" w:line="240" w:before="0" w:after="0"/>
        <w:textAlignment w:val="baseline"/>
        <w:rPr>
          <w:rFonts w:ascii="Arial" w:hAnsi="Arial" w:eastAsia="Times New Roman" w:cs="Arial"/>
          <w:iCs/>
          <w:color w:val="auto"/>
          <w:szCs w:val="22"/>
          <w:lang w:eastAsia="it-IT"/>
        </w:rPr>
      </w:pPr>
      <w:r>
        <w:rPr>
          <w:rFonts w:eastAsia="Times New Roman" w:cs="Times New Roman" w:ascii="Arial" w:hAnsi="Arial"/>
          <w:iCs/>
          <w:color w:val="auto" w:themeColor="text1" w:themeTint="bf"/>
          <w:szCs w:val="22"/>
          <w:lang w:eastAsia="it-IT"/>
        </w:rPr>
        <w:t xml:space="preserve">L’Organo di revisione ha verificato che l’Ente </w:t>
      </w:r>
      <w:r>
        <w:rPr>
          <w:rFonts w:eastAsia="Times New Roman" w:cs="Times New Roman" w:ascii="Arial" w:hAnsi="Arial"/>
          <w:b/>
          <w:bCs/>
          <w:i/>
          <w:iCs/>
          <w:color w:val="auto" w:themeColor="text1" w:themeTint="bf"/>
          <w:szCs w:val="22"/>
          <w:lang w:eastAsia="it-IT"/>
        </w:rPr>
        <w:t xml:space="preserve">ha </w:t>
      </w:r>
      <w:r>
        <w:rPr>
          <w:rFonts w:eastAsia="Times New Roman" w:cs="Times New Roman" w:ascii="Arial" w:hAnsi="Arial"/>
          <w:iCs/>
          <w:color w:val="auto" w:themeColor="text1" w:themeTint="bf"/>
          <w:szCs w:val="22"/>
          <w:lang w:eastAsia="it-IT"/>
        </w:rPr>
        <w:t>effettuato la ricognizione annuale delle partecipazioni, dirette o indirette, entro lo scorso 31 dicembre, ai sensi dell’art. 20, cc. 1 e 3, TUSP, come da deliberazione del Consiglio comunale n. 87 del 18.12.2024.</w:t>
      </w:r>
    </w:p>
    <w:p>
      <w:pPr>
        <w:pStyle w:val="Normal"/>
        <w:widowControl w:val="false"/>
        <w:overflowPunct w:val="true"/>
        <w:spacing w:lineRule="auto" w:line="240" w:before="0" w:after="0"/>
        <w:textAlignment w:val="baseline"/>
        <w:rPr>
          <w:rFonts w:ascii="Arial" w:hAnsi="Arial" w:eastAsia="Times New Roman" w:cs="Times New Roman"/>
          <w:color w:val="auto"/>
          <w:szCs w:val="22"/>
          <w:lang w:eastAsia="it-IT"/>
        </w:rPr>
      </w:pPr>
      <w:r>
        <w:rPr>
          <w:rFonts w:eastAsia="Times New Roman" w:cs="Times New Roman" w:ascii="Arial" w:hAnsi="Arial"/>
          <w:color w:val="auto"/>
          <w:szCs w:val="22"/>
          <w:lang w:eastAsia="it-IT"/>
        </w:rPr>
      </w:r>
    </w:p>
    <w:p>
      <w:pPr>
        <w:pStyle w:val="Normal"/>
        <w:widowControl w:val="false"/>
        <w:overflowPunct w:val="true"/>
        <w:spacing w:lineRule="auto" w:line="240" w:before="0" w:after="0"/>
        <w:textAlignment w:val="baseline"/>
        <w:rPr>
          <w:rFonts w:ascii="Arial" w:hAnsi="Arial" w:eastAsia="Times New Roman" w:cs="Times New Roman"/>
          <w:color w:val="auto"/>
          <w:szCs w:val="22"/>
          <w:lang w:eastAsia="it-IT"/>
        </w:rPr>
      </w:pPr>
      <w:r>
        <w:rPr>
          <w:rFonts w:eastAsia="Times New Roman" w:cs="Times New Roman" w:ascii="Arial" w:hAnsi="Arial"/>
          <w:color w:val="auto" w:themeColor="text1" w:themeTint="bf"/>
          <w:szCs w:val="22"/>
          <w:lang w:eastAsia="it-IT"/>
        </w:rPr>
        <w:t xml:space="preserve">L’Organo di revisione ha verificato che il piano di riassetto e/o razionalizzazione prevede il mantenimento di partecipazioni dirette e indirette coerenti con le finalità perseguibili dall'art. 4 del TUSP. </w:t>
      </w:r>
    </w:p>
    <w:p>
      <w:pPr>
        <w:pStyle w:val="Normal"/>
        <w:widowControl w:val="false"/>
        <w:overflowPunct w:val="true"/>
        <w:spacing w:lineRule="auto" w:line="240" w:before="0" w:after="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0"/>
        <w:textAlignment w:val="baseline"/>
        <w:rPr>
          <w:rFonts w:ascii="Arial" w:hAnsi="Arial" w:eastAsia="Times New Roman" w:cs="Arial"/>
          <w:iCs/>
          <w:color w:val="auto"/>
          <w:szCs w:val="22"/>
          <w:lang w:eastAsia="it-IT"/>
        </w:rPr>
      </w:pPr>
      <w:r>
        <w:rPr>
          <w:rFonts w:eastAsia="Times New Roman" w:cs="Arial" w:ascii="Arial" w:hAnsi="Arial"/>
          <w:iCs/>
          <w:color w:val="auto" w:themeColor="text1" w:themeTint="bf"/>
          <w:szCs w:val="22"/>
          <w:lang w:eastAsia="it-IT"/>
        </w:rPr>
        <w:t>L’Organo di revisione prende atto che dalla revisione periodica condotta ai sensi dell’art. 20 del D.Lgs. 175/2016 non è emersa la necessità di operare nuove razionalizzazioni ma vi è la sostanziale riconferma delle seguenti partecipazioni, in sostanziale continuità alla revisione straordinaria operata nell’anno 2017 e di razionalizzazione periodica negli anni 2018, 2019, 2020, 2021, 2022 e 2023:</w:t>
      </w:r>
    </w:p>
    <w:p>
      <w:pPr>
        <w:pStyle w:val="Normal"/>
        <w:widowControl w:val="false"/>
        <w:numPr>
          <w:ilvl w:val="0"/>
          <w:numId w:val="15"/>
        </w:numPr>
        <w:overflowPunct w:val="true"/>
        <w:spacing w:lineRule="auto" w:line="240" w:before="0" w:after="0"/>
        <w:textAlignment w:val="baseline"/>
        <w:rPr>
          <w:rFonts w:ascii="Arial" w:hAnsi="Arial" w:eastAsia="Times New Roman" w:cs="Arial"/>
          <w:iCs/>
          <w:color w:val="auto"/>
          <w:szCs w:val="22"/>
          <w:lang w:eastAsia="it-IT"/>
        </w:rPr>
      </w:pPr>
      <w:r>
        <w:rPr>
          <w:rFonts w:eastAsia="Times New Roman" w:cs="Arial" w:ascii="Arial" w:hAnsi="Arial"/>
          <w:iCs/>
          <w:color w:val="auto" w:themeColor="text1" w:themeTint="bf"/>
          <w:szCs w:val="22"/>
          <w:lang w:eastAsia="it-IT"/>
        </w:rPr>
        <w:t>CAP Holding S.p.A (% di possesso pari a 0,98), unitamente al complesso delle partecipazioni dalla stessa detenute per le quali non risulta avviato un processo di liquidazione;</w:t>
      </w:r>
    </w:p>
    <w:p>
      <w:pPr>
        <w:pStyle w:val="Normal"/>
        <w:widowControl w:val="false"/>
        <w:numPr>
          <w:ilvl w:val="0"/>
          <w:numId w:val="15"/>
        </w:numPr>
        <w:overflowPunct w:val="true"/>
        <w:spacing w:lineRule="auto" w:line="240" w:before="0" w:after="0"/>
        <w:textAlignment w:val="baseline"/>
        <w:rPr>
          <w:rFonts w:ascii="Arial" w:hAnsi="Arial" w:eastAsia="Times New Roman" w:cs="Arial"/>
          <w:iCs/>
          <w:color w:val="auto"/>
          <w:szCs w:val="22"/>
          <w:lang w:eastAsia="it-IT"/>
        </w:rPr>
      </w:pPr>
      <w:r>
        <w:rPr>
          <w:rFonts w:eastAsia="Times New Roman" w:cs="Arial" w:ascii="Arial" w:hAnsi="Arial"/>
          <w:iCs/>
          <w:color w:val="auto" w:themeColor="text1" w:themeTint="bf"/>
          <w:szCs w:val="22"/>
          <w:lang w:eastAsia="it-IT"/>
        </w:rPr>
        <w:t>Centro Studi PIM (% di possesso pari a 0,47);</w:t>
      </w:r>
    </w:p>
    <w:p>
      <w:pPr>
        <w:pStyle w:val="Normal"/>
        <w:widowControl w:val="false"/>
        <w:numPr>
          <w:ilvl w:val="0"/>
          <w:numId w:val="15"/>
        </w:numPr>
        <w:overflowPunct w:val="true"/>
        <w:spacing w:lineRule="auto" w:line="240" w:before="0" w:after="0"/>
        <w:textAlignment w:val="baseline"/>
        <w:rPr>
          <w:rFonts w:ascii="Arial" w:hAnsi="Arial" w:eastAsia="Times New Roman" w:cs="Arial"/>
          <w:iCs/>
          <w:color w:val="auto"/>
          <w:szCs w:val="22"/>
          <w:lang w:eastAsia="it-IT"/>
        </w:rPr>
      </w:pPr>
      <w:r>
        <w:rPr>
          <w:rFonts w:eastAsia="Times New Roman" w:cs="Arial" w:ascii="Arial" w:hAnsi="Arial"/>
          <w:iCs/>
          <w:color w:val="auto" w:themeColor="text1" w:themeTint="bf"/>
          <w:szCs w:val="22"/>
          <w:lang w:eastAsia="it-IT"/>
        </w:rPr>
        <w:t>Fondazione Pontirolo ONLUS (% di possesso pari a 11,70);</w:t>
      </w:r>
    </w:p>
    <w:p>
      <w:pPr>
        <w:pStyle w:val="Normal"/>
        <w:widowControl w:val="false"/>
        <w:numPr>
          <w:ilvl w:val="0"/>
          <w:numId w:val="15"/>
        </w:numPr>
        <w:overflowPunct w:val="true"/>
        <w:spacing w:lineRule="auto" w:line="240" w:before="0" w:after="0"/>
        <w:textAlignment w:val="baseline"/>
        <w:rPr>
          <w:rFonts w:ascii="Arial" w:hAnsi="Arial" w:eastAsia="Times New Roman" w:cs="Arial"/>
          <w:iCs/>
          <w:color w:val="auto"/>
          <w:szCs w:val="22"/>
          <w:lang w:eastAsia="it-IT"/>
        </w:rPr>
      </w:pPr>
      <w:r>
        <w:rPr>
          <w:rFonts w:eastAsia="Times New Roman" w:cs="Arial" w:ascii="Arial" w:hAnsi="Arial"/>
          <w:iCs/>
          <w:color w:val="auto" w:themeColor="text1" w:themeTint="bf"/>
          <w:szCs w:val="22"/>
          <w:lang w:eastAsia="it-IT"/>
        </w:rPr>
        <w:t>Fondazione per leggere (% di possesso 3,5213);</w:t>
      </w:r>
    </w:p>
    <w:p>
      <w:pPr>
        <w:pStyle w:val="Normal"/>
        <w:widowControl w:val="false"/>
        <w:numPr>
          <w:ilvl w:val="0"/>
          <w:numId w:val="15"/>
        </w:numPr>
        <w:overflowPunct w:val="true"/>
        <w:spacing w:lineRule="auto" w:line="240" w:before="0" w:after="0"/>
        <w:textAlignment w:val="baseline"/>
        <w:rPr>
          <w:rFonts w:ascii="Arial" w:hAnsi="Arial" w:eastAsia="Times New Roman" w:cs="Arial"/>
          <w:iCs/>
          <w:color w:val="auto"/>
          <w:szCs w:val="22"/>
          <w:lang w:eastAsia="it-IT"/>
        </w:rPr>
      </w:pPr>
      <w:r>
        <w:rPr>
          <w:rFonts w:eastAsia="Times New Roman" w:cs="Arial" w:ascii="Arial" w:hAnsi="Arial"/>
          <w:i/>
          <w:iCs/>
          <w:color w:val="auto" w:themeColor="text1" w:themeTint="bf"/>
          <w:szCs w:val="22"/>
          <w:lang w:eastAsia="it-IT"/>
        </w:rPr>
        <w:t>AFOL metropolitana (% di possesso 0,67).</w:t>
      </w:r>
    </w:p>
    <w:p>
      <w:pPr>
        <w:pStyle w:val="Normal"/>
        <w:widowControl w:val="false"/>
        <w:overflowPunct w:val="true"/>
        <w:spacing w:lineRule="auto" w:line="240" w:before="0" w:after="0"/>
        <w:textAlignment w:val="baseline"/>
        <w:rPr>
          <w:rFonts w:ascii="Arial" w:hAnsi="Arial" w:eastAsia="Times New Roman" w:cs="Arial"/>
          <w:iCs/>
          <w:color w:val="auto"/>
          <w:szCs w:val="22"/>
          <w:lang w:eastAsia="it-IT"/>
        </w:rPr>
      </w:pPr>
      <w:r>
        <w:rPr>
          <w:rFonts w:eastAsia="Times New Roman" w:cs="Arial" w:ascii="Arial" w:hAnsi="Arial"/>
          <w:iCs/>
          <w:color w:val="auto"/>
          <w:szCs w:val="22"/>
          <w:lang w:eastAsia="it-IT"/>
        </w:rPr>
      </w:r>
    </w:p>
    <w:p>
      <w:pPr>
        <w:pStyle w:val="Normal"/>
        <w:widowControl w:val="false"/>
        <w:overflowPunct w:val="true"/>
        <w:spacing w:lineRule="auto" w:line="240" w:before="0" w:after="0"/>
        <w:textAlignment w:val="baseline"/>
        <w:rPr>
          <w:rFonts w:ascii="Arial" w:hAnsi="Arial" w:eastAsia="Times New Roman" w:cs="Arial"/>
          <w:iCs/>
          <w:color w:val="auto"/>
          <w:szCs w:val="22"/>
          <w:lang w:eastAsia="it-IT"/>
        </w:rPr>
      </w:pPr>
      <w:r>
        <w:rPr>
          <w:rFonts w:eastAsia="Times New Roman" w:cs="Arial" w:ascii="Arial" w:hAnsi="Arial"/>
          <w:i/>
          <w:iCs/>
          <w:color w:val="auto" w:themeColor="text1" w:themeTint="bf"/>
          <w:szCs w:val="22"/>
          <w:lang w:eastAsia="it-IT"/>
        </w:rPr>
        <w:t>L’Ente non detiene partecipazioni di controllo.</w:t>
      </w:r>
    </w:p>
    <w:p>
      <w:pPr>
        <w:pStyle w:val="Titolo2"/>
        <w:numPr>
          <w:ilvl w:val="1"/>
          <w:numId w:val="99"/>
        </w:numPr>
        <w:ind w:left="851" w:hanging="491"/>
        <w:rPr/>
      </w:pPr>
      <w:bookmarkStart w:id="100" w:name="_Toc192666999"/>
      <w:r>
        <w:rPr/>
        <w:t>Ulteriori controlli in materia di organismi partecipati</w:t>
      </w:r>
      <w:bookmarkEnd w:id="100"/>
    </w:p>
    <w:p>
      <w:pPr>
        <w:pStyle w:val="Normal"/>
        <w:spacing w:lineRule="auto" w:line="240" w:before="0" w:after="0"/>
        <w:textAlignment w:val="baseline"/>
        <w:rPr>
          <w:rFonts w:ascii="Arial" w:hAnsi="Arial" w:eastAsia="Times New Roman" w:cs="Arial"/>
          <w:i/>
          <w:i/>
          <w:color w:val="00B0F0"/>
          <w:sz w:val="20"/>
          <w:szCs w:val="20"/>
          <w:lang w:eastAsia="it-IT"/>
        </w:rPr>
      </w:pPr>
      <w:r>
        <w:rPr>
          <w:rFonts w:eastAsia="Times New Roman" w:cs="Arial" w:ascii="Arial" w:hAnsi="Arial"/>
          <w:i/>
          <w:color w:val="00B0F0"/>
          <w:sz w:val="20"/>
          <w:szCs w:val="20"/>
          <w:lang w:eastAsia="it-IT"/>
        </w:rPr>
      </w:r>
    </w:p>
    <w:p>
      <w:pPr>
        <w:pStyle w:val="Normal"/>
        <w:spacing w:lineRule="auto" w:line="240" w:before="0" w:after="0"/>
        <w:textAlignment w:val="baseline"/>
        <w:rPr>
          <w:i w:val="false"/>
          <w:i w:val="false"/>
          <w:iCs w:val="false"/>
        </w:rPr>
      </w:pPr>
      <w:r>
        <w:rPr>
          <w:rFonts w:eastAsia="Times New Roman" w:cs="Arial" w:ascii="Arial" w:hAnsi="Arial"/>
          <w:i w:val="false"/>
          <w:iCs w:val="false"/>
          <w:color w:val="auto" w:themeColor="text1" w:themeTint="bf"/>
          <w:szCs w:val="22"/>
          <w:lang w:eastAsia="it-IT"/>
        </w:rPr>
        <w:t xml:space="preserve">L’Organo di revisione ha verificato che nel corso del 2024 </w:t>
      </w:r>
      <w:r>
        <w:rPr>
          <w:rFonts w:eastAsia="Times New Roman" w:cs="Arial" w:ascii="Arial" w:hAnsi="Arial"/>
          <w:b/>
          <w:bCs/>
          <w:i w:val="false"/>
          <w:iCs w:val="false"/>
          <w:color w:val="auto" w:themeColor="text1" w:themeTint="bf"/>
          <w:szCs w:val="22"/>
          <w:lang w:eastAsia="it-IT"/>
        </w:rPr>
        <w:t xml:space="preserve">non sono stati </w:t>
      </w:r>
      <w:r>
        <w:rPr>
          <w:rFonts w:eastAsia="Times New Roman" w:cs="Arial" w:ascii="Arial" w:hAnsi="Arial"/>
          <w:i w:val="false"/>
          <w:iCs w:val="false"/>
          <w:color w:val="auto" w:themeColor="text1" w:themeTint="bf"/>
          <w:szCs w:val="22"/>
          <w:lang w:eastAsia="it-IT"/>
        </w:rPr>
        <w:t>addebitati all'Ente interessi di mora per ritardato pagamento di fatture emesse dalle proprie partecipate.</w:t>
      </w:r>
    </w:p>
    <w:p>
      <w:pPr>
        <w:pStyle w:val="Normal"/>
        <w:spacing w:lineRule="auto" w:line="240" w:before="0" w:after="0"/>
        <w:textAlignment w:val="baseline"/>
        <w:rPr>
          <w:rFonts w:ascii="Arial" w:hAnsi="Arial" w:eastAsia="Times New Roman" w:cs="Arial"/>
          <w:color w:val="auto" w:themeColor="text1" w:themeTint="bf"/>
          <w:szCs w:val="22"/>
          <w:lang w:eastAsia="it-IT"/>
        </w:rPr>
      </w:pPr>
      <w:r>
        <w:rPr>
          <w:rFonts w:eastAsia="Times New Roman" w:cs="Arial" w:ascii="Arial" w:hAnsi="Arial"/>
          <w:color w:val="auto" w:themeColor="text1" w:themeTint="bf"/>
          <w:szCs w:val="22"/>
          <w:lang w:eastAsia="it-IT"/>
        </w:rPr>
      </w:r>
    </w:p>
    <w:p>
      <w:pPr>
        <w:pStyle w:val="Normal"/>
        <w:spacing w:lineRule="auto" w:line="240" w:before="0" w:after="0"/>
        <w:textAlignment w:val="baseline"/>
        <w:rPr>
          <w:rFonts w:ascii="Arial" w:hAnsi="Arial" w:eastAsia="Times New Roman" w:cs="Arial"/>
          <w:color w:val="auto" w:themeColor="text1" w:themeTint="bf"/>
          <w:szCs w:val="22"/>
          <w:lang w:eastAsia="it-IT"/>
        </w:rPr>
      </w:pPr>
      <w:r>
        <w:rPr>
          <w:rFonts w:eastAsia="Times New Roman" w:cs="Arial" w:ascii="Arial" w:hAnsi="Arial"/>
          <w:color w:val="auto" w:themeColor="text1" w:themeTint="bf"/>
          <w:szCs w:val="22"/>
          <w:lang w:eastAsia="it-IT"/>
        </w:rPr>
      </w:r>
    </w:p>
    <w:p>
      <w:pPr>
        <w:pStyle w:val="Normal"/>
        <w:spacing w:lineRule="auto" w:line="240" w:before="0" w:after="0"/>
        <w:textAlignment w:val="baseline"/>
        <w:rPr>
          <w:rFonts w:ascii="Arial" w:hAnsi="Arial" w:eastAsia="Times New Roman" w:cs="Arial"/>
          <w:color w:val="auto" w:themeColor="text1" w:themeTint="bf"/>
          <w:szCs w:val="22"/>
          <w:lang w:eastAsia="it-IT"/>
        </w:rPr>
      </w:pPr>
      <w:r>
        <w:rPr>
          <w:rFonts w:eastAsia="Times New Roman" w:cs="Arial" w:ascii="Arial" w:hAnsi="Arial"/>
          <w:color w:val="auto" w:themeColor="text1" w:themeTint="bf"/>
          <w:szCs w:val="22"/>
          <w:lang w:eastAsia="it-IT"/>
        </w:rPr>
      </w:r>
    </w:p>
    <w:p>
      <w:pPr>
        <w:pStyle w:val="Titolo1"/>
        <w:numPr>
          <w:ilvl w:val="0"/>
          <w:numId w:val="100"/>
        </w:numPr>
        <w:ind w:left="284" w:hanging="284"/>
        <w:rPr/>
      </w:pPr>
      <w:bookmarkStart w:id="101" w:name="_Toc192667000"/>
      <w:bookmarkStart w:id="102" w:name="Copia_di__Toc379377479_1"/>
      <w:bookmarkEnd w:id="102"/>
      <w:r>
        <w:rPr/>
        <w:t>Contabilità economico-patrimoniale</w:t>
      </w:r>
      <w:bookmarkEnd w:id="101"/>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iCs/>
          <w:color w:val="000000"/>
          <w:szCs w:val="22"/>
          <w:lang w:eastAsia="it-IT"/>
        </w:rPr>
      </w:pPr>
      <w:r>
        <w:rPr>
          <w:rFonts w:eastAsia="Times New Roman" w:cs="Arial" w:ascii="Arial" w:hAnsi="Arial"/>
          <w:iCs/>
          <w:color w:val="000000"/>
          <w:szCs w:val="22"/>
          <w:lang w:eastAsia="it-IT"/>
        </w:rPr>
        <w:t xml:space="preserve">L’Organo di revisione ha verificato che l’Ente, al fine di elaborare la situazione patrimoniale semplificata, </w:t>
      </w:r>
      <w:r>
        <w:rPr>
          <w:rFonts w:eastAsia="Times New Roman" w:cs="Arial" w:ascii="Arial" w:hAnsi="Arial"/>
          <w:b/>
          <w:bCs/>
          <w:i/>
          <w:color w:val="000000"/>
          <w:szCs w:val="22"/>
          <w:lang w:eastAsia="it-IT"/>
        </w:rPr>
        <w:t>ha</w:t>
      </w:r>
      <w:r>
        <w:rPr>
          <w:rFonts w:eastAsia="Times New Roman" w:cs="Arial" w:ascii="Arial" w:hAnsi="Arial"/>
          <w:iCs/>
          <w:color w:val="000000"/>
          <w:szCs w:val="22"/>
          <w:lang w:eastAsia="it-IT"/>
        </w:rPr>
        <w:t xml:space="preserve"> aggiornato gli inventari al 31 dicembre 2024. </w:t>
      </w:r>
    </w:p>
    <w:p>
      <w:pPr>
        <w:pStyle w:val="Normal"/>
        <w:widowControl w:val="false"/>
        <w:numPr>
          <w:ilvl w:val="0"/>
          <w:numId w:val="0"/>
        </w:numPr>
        <w:tabs>
          <w:tab w:val="clear" w:pos="708"/>
          <w:tab w:val="left" w:pos="360" w:leader="none"/>
        </w:tabs>
        <w:overflowPunct w:val="true"/>
        <w:spacing w:lineRule="auto" w:line="240" w:before="0" w:after="120"/>
        <w:ind w:left="0" w:hanging="0"/>
        <w:jc w:val="left"/>
        <w:textAlignment w:val="baseline"/>
        <w:rPr>
          <w:rFonts w:ascii="Arial" w:hAnsi="Arial" w:eastAsia="Times New Roman" w:cs="Arial"/>
          <w:b/>
          <w:b/>
          <w:bCs/>
          <w:i/>
          <w:i/>
          <w:iCs/>
          <w:color w:val="000000"/>
          <w:szCs w:val="22"/>
          <w:lang w:eastAsia="it-IT"/>
        </w:rPr>
      </w:pPr>
      <w:r>
        <w:rPr>
          <w:rFonts w:eastAsia="Times New Roman" w:cs="Arial" w:ascii="Arial" w:hAnsi="Arial"/>
          <w:b/>
          <w:bCs/>
          <w:i/>
          <w:iCs/>
          <w:color w:val="000000"/>
          <w:szCs w:val="22"/>
          <w:lang w:eastAsia="it-IT"/>
        </w:rPr>
      </w:r>
    </w:p>
    <w:p>
      <w:pPr>
        <w:pStyle w:val="Normal"/>
        <w:widowControl w:val="false"/>
        <w:numPr>
          <w:ilvl w:val="0"/>
          <w:numId w:val="0"/>
        </w:numPr>
        <w:tabs>
          <w:tab w:val="clear" w:pos="708"/>
          <w:tab w:val="left" w:pos="360" w:leader="none"/>
        </w:tabs>
        <w:overflowPunct w:val="true"/>
        <w:spacing w:lineRule="auto" w:line="240" w:before="0" w:after="120"/>
        <w:ind w:left="0" w:hanging="0"/>
        <w:jc w:val="left"/>
        <w:textAlignment w:val="baseline"/>
        <w:rPr>
          <w:rFonts w:ascii="Arial" w:hAnsi="Arial" w:eastAsia="Times New Roman" w:cs="Arial"/>
          <w:b/>
          <w:b/>
          <w:bCs/>
          <w:i/>
          <w:i/>
          <w:iCs/>
          <w:color w:val="000000"/>
          <w:szCs w:val="22"/>
          <w:lang w:eastAsia="it-IT"/>
        </w:rPr>
      </w:pPr>
      <w:r>
        <w:rPr>
          <w:rFonts w:eastAsia="Times New Roman" w:cs="Arial" w:ascii="Arial" w:hAnsi="Arial"/>
          <w:b/>
          <w:bCs/>
          <w:i/>
          <w:iCs/>
          <w:color w:val="000000"/>
          <w:szCs w:val="22"/>
          <w:lang w:eastAsia="it-IT"/>
        </w:rPr>
      </w:r>
    </w:p>
    <w:p>
      <w:pPr>
        <w:pStyle w:val="Normal"/>
        <w:widowControl w:val="false"/>
        <w:numPr>
          <w:ilvl w:val="0"/>
          <w:numId w:val="0"/>
        </w:numPr>
        <w:tabs>
          <w:tab w:val="clear" w:pos="708"/>
          <w:tab w:val="left" w:pos="360" w:leader="none"/>
        </w:tabs>
        <w:overflowPunct w:val="true"/>
        <w:spacing w:lineRule="auto" w:line="240" w:before="0" w:after="120"/>
        <w:ind w:left="0" w:hanging="0"/>
        <w:jc w:val="left"/>
        <w:textAlignment w:val="baseline"/>
        <w:rPr>
          <w:rFonts w:ascii="Arial" w:hAnsi="Arial" w:eastAsia="Times New Roman" w:cs="Arial"/>
          <w:b/>
          <w:b/>
          <w:bCs/>
          <w:i/>
          <w:i/>
          <w:iCs/>
          <w:color w:val="000000"/>
          <w:szCs w:val="22"/>
          <w:lang w:eastAsia="it-IT"/>
        </w:rPr>
      </w:pPr>
      <w:r>
        <w:rPr>
          <w:rFonts w:eastAsia="Times New Roman" w:cs="Arial" w:ascii="Arial" w:hAnsi="Arial"/>
          <w:b/>
          <w:bCs/>
          <w:i/>
          <w:iCs/>
          <w:color w:val="000000"/>
          <w:szCs w:val="22"/>
          <w:lang w:eastAsia="it-IT"/>
        </w:rPr>
      </w:r>
    </w:p>
    <w:p>
      <w:pPr>
        <w:pStyle w:val="Normal"/>
        <w:widowControl w:val="false"/>
        <w:numPr>
          <w:ilvl w:val="0"/>
          <w:numId w:val="0"/>
        </w:numPr>
        <w:tabs>
          <w:tab w:val="clear" w:pos="708"/>
          <w:tab w:val="left" w:pos="360" w:leader="none"/>
        </w:tabs>
        <w:overflowPunct w:val="true"/>
        <w:spacing w:lineRule="auto" w:line="240" w:before="0" w:after="120"/>
        <w:ind w:left="0" w:hanging="0"/>
        <w:jc w:val="left"/>
        <w:textAlignment w:val="baseline"/>
        <w:rPr>
          <w:rFonts w:ascii="Arial" w:hAnsi="Arial" w:eastAsia="Times New Roman" w:cs="Arial"/>
          <w:b/>
          <w:b/>
          <w:bCs/>
          <w:i/>
          <w:i/>
          <w:iCs/>
          <w:color w:val="000000"/>
          <w:szCs w:val="22"/>
          <w:lang w:eastAsia="it-IT"/>
        </w:rPr>
      </w:pPr>
      <w:r>
        <w:rPr>
          <w:rFonts w:eastAsia="Times New Roman" w:cs="Arial" w:ascii="Arial" w:hAnsi="Arial"/>
          <w:b/>
          <w:bCs/>
          <w:i/>
          <w:iCs/>
          <w:color w:val="000000"/>
          <w:szCs w:val="22"/>
          <w:lang w:eastAsia="it-IT"/>
        </w:rPr>
      </w:r>
    </w:p>
    <w:p>
      <w:pPr>
        <w:pStyle w:val="Normal"/>
        <w:widowControl w:val="false"/>
        <w:numPr>
          <w:ilvl w:val="0"/>
          <w:numId w:val="0"/>
        </w:numPr>
        <w:tabs>
          <w:tab w:val="clear" w:pos="708"/>
          <w:tab w:val="left" w:pos="360" w:leader="none"/>
        </w:tabs>
        <w:overflowPunct w:val="true"/>
        <w:spacing w:lineRule="auto" w:line="240" w:before="0" w:after="120"/>
        <w:ind w:left="0" w:hanging="0"/>
        <w:jc w:val="left"/>
        <w:textAlignment w:val="baseline"/>
        <w:rPr>
          <w:rFonts w:ascii="Arial" w:hAnsi="Arial" w:eastAsia="Times New Roman" w:cs="Arial"/>
          <w:b/>
          <w:b/>
          <w:bCs/>
          <w:i/>
          <w:i/>
          <w:iCs/>
          <w:color w:val="000000"/>
          <w:szCs w:val="22"/>
          <w:lang w:eastAsia="it-IT"/>
        </w:rPr>
      </w:pPr>
      <w:r>
        <w:rPr>
          <w:rFonts w:eastAsia="Times New Roman" w:cs="Arial" w:ascii="Arial" w:hAnsi="Arial"/>
          <w:b/>
          <w:bCs/>
          <w:i/>
          <w:iCs/>
          <w:color w:val="000000"/>
          <w:szCs w:val="22"/>
          <w:lang w:eastAsia="it-IT"/>
        </w:rPr>
      </w:r>
    </w:p>
    <w:p>
      <w:pPr>
        <w:pStyle w:val="Normal"/>
        <w:widowControl w:val="false"/>
        <w:numPr>
          <w:ilvl w:val="0"/>
          <w:numId w:val="0"/>
        </w:numPr>
        <w:tabs>
          <w:tab w:val="clear" w:pos="708"/>
          <w:tab w:val="left" w:pos="360" w:leader="none"/>
        </w:tabs>
        <w:overflowPunct w:val="true"/>
        <w:spacing w:lineRule="auto" w:line="240" w:before="0" w:after="120"/>
        <w:ind w:left="0" w:hanging="0"/>
        <w:jc w:val="left"/>
        <w:textAlignment w:val="baseline"/>
        <w:rPr>
          <w:rFonts w:ascii="Arial" w:hAnsi="Arial" w:eastAsia="Times New Roman" w:cs="Arial"/>
          <w:b/>
          <w:b/>
          <w:bCs/>
          <w:i/>
          <w:i/>
          <w:iCs/>
          <w:color w:val="000000"/>
          <w:szCs w:val="22"/>
          <w:lang w:eastAsia="it-IT"/>
        </w:rPr>
      </w:pPr>
      <w:r>
        <w:rPr>
          <w:rFonts w:eastAsia="Times New Roman" w:cs="Arial" w:ascii="Arial" w:hAnsi="Arial"/>
          <w:b/>
          <w:bCs/>
          <w:i/>
          <w:iCs/>
          <w:color w:val="000000"/>
          <w:szCs w:val="22"/>
          <w:lang w:eastAsia="it-IT"/>
        </w:rPr>
      </w:r>
    </w:p>
    <w:p>
      <w:pPr>
        <w:pStyle w:val="Normal"/>
        <w:widowControl w:val="false"/>
        <w:numPr>
          <w:ilvl w:val="0"/>
          <w:numId w:val="0"/>
        </w:numPr>
        <w:tabs>
          <w:tab w:val="clear" w:pos="708"/>
          <w:tab w:val="left" w:pos="360" w:leader="none"/>
        </w:tabs>
        <w:overflowPunct w:val="true"/>
        <w:spacing w:lineRule="auto" w:line="240" w:before="0" w:after="120"/>
        <w:ind w:left="0" w:hanging="0"/>
        <w:textAlignment w:val="baseline"/>
        <w:rPr>
          <w:rFonts w:ascii="Arial" w:hAnsi="Arial" w:eastAsia="Times New Roman" w:cs="Arial"/>
          <w:i/>
          <w:i/>
          <w:iCs/>
          <w:color w:val="00B0F0"/>
          <w:szCs w:val="22"/>
          <w:lang w:eastAsia="it-IT"/>
        </w:rPr>
      </w:pPr>
      <w:r>
        <w:rPr>
          <w:rFonts w:eastAsia="Times New Roman" w:cs="Arial" w:ascii="Arial" w:hAnsi="Arial"/>
          <w:i/>
          <w:iCs/>
          <w:color w:val="00B0F0"/>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i/>
          <w:i/>
          <w:iCs/>
          <w:color w:val="00B0F0"/>
          <w:szCs w:val="22"/>
          <w:lang w:eastAsia="it-IT"/>
        </w:rPr>
      </w:pPr>
      <w:r>
        <w:rPr>
          <w:rFonts w:eastAsia="Times New Roman" w:cs="Arial" w:ascii="Arial" w:hAnsi="Arial"/>
          <w:i/>
          <w:iCs/>
          <w:color w:val="00B0F0"/>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La situazione patrimoniale dell’ente è la seguente:</w:t>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drawing>
          <wp:anchor behindDoc="0" distT="0" distB="0" distL="0" distR="0" simplePos="0" locked="0" layoutInCell="0" allowOverlap="1" relativeHeight="16">
            <wp:simplePos x="0" y="0"/>
            <wp:positionH relativeFrom="column">
              <wp:align>center</wp:align>
            </wp:positionH>
            <wp:positionV relativeFrom="paragraph">
              <wp:posOffset>635</wp:posOffset>
            </wp:positionV>
            <wp:extent cx="6004560" cy="7341235"/>
            <wp:effectExtent l="0" t="0" r="0" b="0"/>
            <wp:wrapSquare wrapText="largest"/>
            <wp:docPr id="15" name="Immagin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13" descr=""/>
                    <pic:cNvPicPr>
                      <a:picLocks noChangeAspect="1" noChangeArrowheads="1"/>
                    </pic:cNvPicPr>
                  </pic:nvPicPr>
                  <pic:blipFill>
                    <a:blip r:embed="rId18"/>
                    <a:stretch>
                      <a:fillRect/>
                    </a:stretch>
                  </pic:blipFill>
                  <pic:spPr bwMode="auto">
                    <a:xfrm>
                      <a:off x="0" y="0"/>
                      <a:ext cx="6004560" cy="7341235"/>
                    </a:xfrm>
                    <a:prstGeom prst="rect">
                      <a:avLst/>
                    </a:prstGeom>
                  </pic:spPr>
                </pic:pic>
              </a:graphicData>
            </a:graphic>
          </wp:anchor>
        </w:drawing>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drawing>
          <wp:anchor behindDoc="0" distT="0" distB="0" distL="0" distR="0" simplePos="0" locked="0" layoutInCell="0" allowOverlap="1" relativeHeight="17">
            <wp:simplePos x="0" y="0"/>
            <wp:positionH relativeFrom="column">
              <wp:align>center</wp:align>
            </wp:positionH>
            <wp:positionV relativeFrom="paragraph">
              <wp:posOffset>635</wp:posOffset>
            </wp:positionV>
            <wp:extent cx="5979160" cy="3269615"/>
            <wp:effectExtent l="0" t="0" r="0" b="0"/>
            <wp:wrapSquare wrapText="largest"/>
            <wp:docPr id="16" name="Immagin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14" descr=""/>
                    <pic:cNvPicPr>
                      <a:picLocks noChangeAspect="1" noChangeArrowheads="1"/>
                    </pic:cNvPicPr>
                  </pic:nvPicPr>
                  <pic:blipFill>
                    <a:blip r:embed="rId19"/>
                    <a:stretch>
                      <a:fillRect/>
                    </a:stretch>
                  </pic:blipFill>
                  <pic:spPr bwMode="auto">
                    <a:xfrm>
                      <a:off x="0" y="0"/>
                      <a:ext cx="5979160" cy="3269615"/>
                    </a:xfrm>
                    <a:prstGeom prst="rect">
                      <a:avLst/>
                    </a:prstGeom>
                  </pic:spPr>
                </pic:pic>
              </a:graphicData>
            </a:graphic>
          </wp:anchor>
        </w:drawing>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drawing>
          <wp:anchor behindDoc="0" distT="0" distB="0" distL="0" distR="0" simplePos="0" locked="0" layoutInCell="0" allowOverlap="1" relativeHeight="18">
            <wp:simplePos x="0" y="0"/>
            <wp:positionH relativeFrom="column">
              <wp:align>center</wp:align>
            </wp:positionH>
            <wp:positionV relativeFrom="paragraph">
              <wp:posOffset>635</wp:posOffset>
            </wp:positionV>
            <wp:extent cx="5759450" cy="7012940"/>
            <wp:effectExtent l="0" t="0" r="0" b="0"/>
            <wp:wrapSquare wrapText="largest"/>
            <wp:docPr id="17" name="Immagin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15" descr=""/>
                    <pic:cNvPicPr>
                      <a:picLocks noChangeAspect="1" noChangeArrowheads="1"/>
                    </pic:cNvPicPr>
                  </pic:nvPicPr>
                  <pic:blipFill>
                    <a:blip r:embed="rId20"/>
                    <a:stretch>
                      <a:fillRect/>
                    </a:stretch>
                  </pic:blipFill>
                  <pic:spPr bwMode="auto">
                    <a:xfrm>
                      <a:off x="0" y="0"/>
                      <a:ext cx="5759450" cy="7012940"/>
                    </a:xfrm>
                    <a:prstGeom prst="rect">
                      <a:avLst/>
                    </a:prstGeom>
                  </pic:spPr>
                </pic:pic>
              </a:graphicData>
            </a:graphic>
          </wp:anchor>
        </w:drawing>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tabs>
          <w:tab w:val="clear" w:pos="708"/>
          <w:tab w:val="left" w:pos="0" w:leader="none"/>
        </w:tabs>
        <w:spacing w:before="120" w:after="0"/>
        <w:ind w:left="0" w:right="0" w:hanging="2"/>
        <w:jc w:val="both"/>
        <w:rPr>
          <w:rFonts w:cs="Arial"/>
          <w:color w:themeColor="text1" w:themeTint="bf"/>
          <w:u w:val="single"/>
        </w:rPr>
      </w:pPr>
      <w:r>
        <w:rPr>
          <w:rFonts w:cs="Arial"/>
          <w:color w:themeColor="text1" w:themeTint="bf"/>
          <w:u w:val="single"/>
        </w:rPr>
      </w:r>
    </w:p>
    <w:p>
      <w:pPr>
        <w:pStyle w:val="Normal"/>
        <w:tabs>
          <w:tab w:val="clear" w:pos="708"/>
          <w:tab w:val="left" w:pos="0" w:leader="none"/>
        </w:tabs>
        <w:spacing w:before="120" w:after="0"/>
        <w:ind w:left="0" w:right="0" w:hanging="2"/>
        <w:jc w:val="both"/>
        <w:rPr>
          <w:rFonts w:cs="Arial"/>
          <w:color w:themeColor="text1" w:themeTint="bf"/>
          <w:u w:val="single"/>
        </w:rPr>
      </w:pPr>
      <w:r>
        <w:rPr>
          <w:rFonts w:cs="Arial"/>
          <w:color w:themeColor="text1" w:themeTint="bf"/>
          <w:u w:val="single"/>
        </w:rPr>
      </w:r>
    </w:p>
    <w:p>
      <w:pPr>
        <w:pStyle w:val="Normal"/>
        <w:tabs>
          <w:tab w:val="clear" w:pos="708"/>
          <w:tab w:val="left" w:pos="0" w:leader="none"/>
        </w:tabs>
        <w:spacing w:before="120" w:after="0"/>
        <w:ind w:left="0" w:right="0" w:hanging="2"/>
        <w:jc w:val="both"/>
        <w:rPr>
          <w:rFonts w:cs="Arial"/>
          <w:color w:themeColor="text1" w:themeTint="bf"/>
          <w:u w:val="single"/>
        </w:rPr>
      </w:pPr>
      <w:r>
        <w:rPr>
          <w:rFonts w:cs="Arial"/>
          <w:color w:themeColor="text1" w:themeTint="bf"/>
          <w:u w:val="single"/>
        </w:rPr>
      </w:r>
    </w:p>
    <w:p>
      <w:pPr>
        <w:pStyle w:val="Normal"/>
        <w:tabs>
          <w:tab w:val="clear" w:pos="708"/>
          <w:tab w:val="left" w:pos="0" w:leader="none"/>
        </w:tabs>
        <w:spacing w:before="120" w:after="0"/>
        <w:ind w:left="0" w:right="0" w:hanging="2"/>
        <w:jc w:val="both"/>
        <w:rPr>
          <w:rFonts w:cs="Arial"/>
          <w:color w:themeColor="text1" w:themeTint="bf"/>
          <w:u w:val="single"/>
        </w:rPr>
      </w:pPr>
      <w:r>
        <w:rPr>
          <w:rFonts w:cs="Arial"/>
          <w:color w:themeColor="text1" w:themeTint="bf"/>
          <w:u w:val="single"/>
        </w:rPr>
      </w:r>
    </w:p>
    <w:p>
      <w:pPr>
        <w:pStyle w:val="Normal"/>
        <w:tabs>
          <w:tab w:val="clear" w:pos="708"/>
          <w:tab w:val="left" w:pos="0" w:leader="none"/>
        </w:tabs>
        <w:spacing w:before="120" w:after="0"/>
        <w:ind w:left="0" w:right="0" w:hanging="2"/>
        <w:jc w:val="both"/>
        <w:rPr>
          <w:rFonts w:ascii="Arial" w:hAnsi="Arial"/>
          <w:i/>
          <w:i/>
          <w:iCs/>
          <w:color w:val="auto"/>
          <w:sz w:val="22"/>
          <w:szCs w:val="22"/>
        </w:rPr>
      </w:pPr>
      <w:r>
        <w:rPr>
          <w:rFonts w:cs="Arial" w:ascii="Arial" w:hAnsi="Arial"/>
          <w:i/>
          <w:iCs/>
          <w:color w:val="auto" w:themeColor="text1" w:themeTint="bf"/>
          <w:sz w:val="22"/>
          <w:szCs w:val="22"/>
          <w:u w:val="single"/>
        </w:rPr>
        <w:t xml:space="preserve">Crediti </w:t>
      </w:r>
    </w:p>
    <w:p>
      <w:pPr>
        <w:pStyle w:val="Normal"/>
        <w:widowControl w:val="false"/>
        <w:tabs>
          <w:tab w:val="clear" w:pos="708"/>
          <w:tab w:val="left" w:pos="0" w:leader="none"/>
        </w:tabs>
        <w:overflowPunct w:val="false"/>
        <w:spacing w:lineRule="auto" w:line="240" w:before="0" w:after="120"/>
        <w:ind w:left="0" w:right="0" w:hanging="0"/>
        <w:jc w:val="both"/>
        <w:textAlignment w:val="baseline"/>
        <w:rPr>
          <w:rFonts w:ascii="Arial" w:hAnsi="Arial"/>
          <w:color w:val="auto"/>
          <w:sz w:val="22"/>
          <w:szCs w:val="22"/>
        </w:rPr>
      </w:pPr>
      <w:r>
        <w:rPr>
          <w:rFonts w:ascii="Arial" w:hAnsi="Arial"/>
          <w:color w:val="auto" w:themeColor="text1" w:themeTint="bf"/>
          <w:position w:val="0"/>
          <w:sz w:val="22"/>
          <w:sz w:val="22"/>
          <w:szCs w:val="22"/>
          <w:vertAlign w:val="baseline"/>
        </w:rPr>
        <w:t>È stata verificata la conciliazione tra residui attivi diversi da quelli di finanziamento e l’ammontare dei crediti di funzionamento, come indicato al punto 6.2b1 del principio contabile applicato all. 4/3, nonché tra il fondo crediti di dubbia esigibilità e il fondo svalutazione crediti.</w:t>
      </w:r>
    </w:p>
    <w:p>
      <w:pPr>
        <w:pStyle w:val="Normal"/>
        <w:widowControl w:val="false"/>
        <w:tabs>
          <w:tab w:val="clear" w:pos="708"/>
          <w:tab w:val="left" w:pos="0" w:leader="none"/>
        </w:tabs>
        <w:overflowPunct w:val="false"/>
        <w:spacing w:lineRule="auto" w:line="240" w:before="0" w:after="120"/>
        <w:ind w:left="0" w:right="0" w:hanging="0"/>
        <w:jc w:val="both"/>
        <w:textAlignment w:val="baseline"/>
        <w:rPr>
          <w:color w:themeColor="text1" w:themeTint="bf"/>
          <w:position w:val="0"/>
          <w:sz w:val="21"/>
          <w:sz w:val="21"/>
          <w:vertAlign w:val="baseline"/>
        </w:rPr>
      </w:pPr>
      <w:r>
        <w:rPr>
          <w:color w:themeColor="text1" w:themeTint="bf"/>
          <w:position w:val="0"/>
          <w:sz w:val="21"/>
          <w:sz w:val="21"/>
          <w:vertAlign w:val="baseline"/>
        </w:rPr>
      </w:r>
    </w:p>
    <w:p>
      <w:pPr>
        <w:pStyle w:val="Normal"/>
        <w:widowControl w:val="false"/>
        <w:tabs>
          <w:tab w:val="clear" w:pos="708"/>
          <w:tab w:val="left" w:pos="0" w:leader="none"/>
        </w:tabs>
        <w:overflowPunct w:val="false"/>
        <w:spacing w:lineRule="auto" w:line="240" w:before="0" w:after="120"/>
        <w:ind w:left="0" w:right="0" w:hanging="0"/>
        <w:jc w:val="both"/>
        <w:textAlignment w:val="baseline"/>
        <w:rPr>
          <w:color w:themeColor="text1" w:themeTint="bf"/>
          <w:position w:val="0"/>
          <w:sz w:val="21"/>
          <w:sz w:val="21"/>
          <w:vertAlign w:val="baseline"/>
        </w:rPr>
      </w:pPr>
      <w:r>
        <w:rPr>
          <w:color w:themeColor="text1" w:themeTint="bf"/>
          <w:position w:val="0"/>
          <w:sz w:val="21"/>
          <w:sz w:val="21"/>
          <w:vertAlign w:val="baseline"/>
        </w:rPr>
      </w:r>
    </w:p>
    <w:p>
      <w:pPr>
        <w:pStyle w:val="Normal"/>
        <w:widowControl w:val="false"/>
        <w:tabs>
          <w:tab w:val="clear" w:pos="708"/>
          <w:tab w:val="left" w:pos="0" w:leader="none"/>
        </w:tabs>
        <w:overflowPunct w:val="false"/>
        <w:spacing w:lineRule="auto" w:line="240" w:before="0" w:after="120"/>
        <w:ind w:left="0" w:right="0" w:hanging="0"/>
        <w:jc w:val="both"/>
        <w:textAlignment w:val="baseline"/>
        <w:rPr>
          <w:color w:themeColor="text1" w:themeTint="bf"/>
          <w:position w:val="0"/>
          <w:sz w:val="21"/>
          <w:sz w:val="21"/>
          <w:vertAlign w:val="baseline"/>
        </w:rPr>
      </w:pPr>
      <w:r>
        <w:rPr>
          <w:color w:themeColor="text1" w:themeTint="bf"/>
          <w:position w:val="0"/>
          <w:sz w:val="21"/>
          <w:sz w:val="21"/>
          <w:vertAlign w:val="baseline"/>
        </w:rPr>
      </w:r>
    </w:p>
    <w:p>
      <w:pPr>
        <w:pStyle w:val="Normal"/>
        <w:tabs>
          <w:tab w:val="clear" w:pos="708"/>
          <w:tab w:val="left" w:pos="0" w:leader="none"/>
        </w:tabs>
        <w:ind w:left="0" w:right="0" w:hanging="2"/>
        <w:jc w:val="both"/>
        <w:rPr>
          <w:rFonts w:ascii="Arial" w:hAnsi="Arial"/>
          <w:i w:val="false"/>
          <w:i w:val="false"/>
          <w:iCs w:val="false"/>
          <w:color w:val="auto"/>
          <w:sz w:val="22"/>
          <w:szCs w:val="22"/>
        </w:rPr>
      </w:pPr>
      <w:r>
        <w:rPr>
          <w:rFonts w:cs="Arial" w:ascii="Arial" w:hAnsi="Arial"/>
          <w:i w:val="false"/>
          <w:iCs w:val="false"/>
          <w:color w:val="auto" w:themeColor="text1" w:themeTint="bf"/>
          <w:sz w:val="22"/>
          <w:szCs w:val="22"/>
          <w:u w:val="single"/>
        </w:rPr>
        <w:t>Disponibilità liquide</w:t>
      </w:r>
    </w:p>
    <w:p>
      <w:pPr>
        <w:pStyle w:val="Corpodeltesto3"/>
        <w:tabs>
          <w:tab w:val="clear" w:pos="708"/>
          <w:tab w:val="left" w:pos="0" w:leader="none"/>
        </w:tabs>
        <w:ind w:left="0" w:right="0" w:hanging="2"/>
        <w:jc w:val="both"/>
        <w:rPr>
          <w:rFonts w:ascii="Arial" w:hAnsi="Arial"/>
          <w:color w:val="auto"/>
          <w:sz w:val="22"/>
          <w:szCs w:val="22"/>
        </w:rPr>
      </w:pPr>
      <w:r>
        <w:rPr>
          <w:rFonts w:eastAsia="Times New Roman" w:cs="Arial" w:ascii="Arial" w:hAnsi="Arial"/>
          <w:color w:val="auto" w:themeColor="text1" w:themeTint="bf"/>
          <w:sz w:val="22"/>
          <w:szCs w:val="22"/>
          <w:lang w:eastAsia="it-IT"/>
        </w:rPr>
        <w:t>È stata verificata la corrispondenza del saldo patrimoniale al 31/12/2024 delle disponibilità liquide con le risultanze del conto del tesoriere, degli altri depositi, anche postali.</w:t>
      </w:r>
    </w:p>
    <w:p>
      <w:pPr>
        <w:pStyle w:val="Corpodeltesto3"/>
        <w:tabs>
          <w:tab w:val="clear" w:pos="708"/>
          <w:tab w:val="left" w:pos="0" w:leader="none"/>
        </w:tabs>
        <w:ind w:left="0" w:right="0" w:hanging="2"/>
        <w:jc w:val="both"/>
        <w:rPr>
          <w:rFonts w:ascii="Arial" w:hAnsi="Arial"/>
          <w:color w:val="auto"/>
          <w:sz w:val="22"/>
          <w:szCs w:val="22"/>
        </w:rPr>
      </w:pPr>
      <w:r>
        <w:rPr>
          <w:rFonts w:eastAsia="Times New Roman" w:cs="Arial" w:ascii="Arial" w:hAnsi="Arial"/>
          <w:color w:val="auto" w:themeColor="text1" w:themeTint="bf"/>
          <w:sz w:val="22"/>
          <w:szCs w:val="22"/>
          <w:lang w:eastAsia="it-IT"/>
        </w:rPr>
        <w:t>L’Organo di revisione prende atto che la determinazione del patrimonio netto ha tenuto conto delle prescrizioni del principio contabile allegato 4/3.</w:t>
      </w:r>
    </w:p>
    <w:p>
      <w:pPr>
        <w:pStyle w:val="Corpodeltesto3"/>
        <w:tabs>
          <w:tab w:val="clear" w:pos="708"/>
          <w:tab w:val="left" w:pos="0" w:leader="none"/>
        </w:tabs>
        <w:ind w:left="0" w:right="0" w:hanging="2"/>
        <w:jc w:val="both"/>
        <w:rPr>
          <w:rFonts w:ascii="Arial" w:hAnsi="Arial"/>
          <w:color w:val="auto"/>
          <w:sz w:val="22"/>
          <w:szCs w:val="22"/>
        </w:rPr>
      </w:pPr>
      <w:r>
        <w:rPr>
          <w:rFonts w:ascii="Arial" w:hAnsi="Arial"/>
          <w:color w:val="auto" w:themeColor="text1" w:themeTint="bf"/>
          <w:sz w:val="22"/>
          <w:szCs w:val="22"/>
        </w:rPr>
        <w:t>L'esercizio 2024 ha chiuso in utile, destinato in parte a riserve indisponibili (per la quota determinata dall'applicazione del metodo del patrimonio netto per la valorizzazione delle partecipazioni detenute) ed in parte alla generale capitalizzazione dell'Ente.</w:t>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ascii="Arial" w:hAnsi="Arial" w:eastAsia="Times New Roman" w:cs="Arial"/>
          <w:iCs/>
          <w:color w:val="auto"/>
          <w:position w:val="0"/>
          <w:sz w:val="22"/>
          <w:sz w:val="22"/>
          <w:szCs w:val="22"/>
          <w:vertAlign w:val="baseline"/>
          <w:lang w:eastAsia="it-IT"/>
        </w:rPr>
      </w:pPr>
      <w:r>
        <w:rPr>
          <w:rFonts w:eastAsia="Times New Roman" w:cs="Arial" w:ascii="Arial" w:hAnsi="Arial"/>
          <w:iCs/>
          <w:color w:val="auto"/>
          <w:position w:val="0"/>
          <w:sz w:val="22"/>
          <w:sz w:val="22"/>
          <w:szCs w:val="22"/>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eastAsia="Times New Roman" w:cs="Arial"/>
          <w:iCs/>
          <w:color w:themeColor="text1" w:themeTint="bf"/>
          <w:position w:val="0"/>
          <w:sz w:val="21"/>
          <w:sz w:val="21"/>
          <w:vertAlign w:val="baseline"/>
          <w:lang w:eastAsia="it-IT"/>
        </w:rPr>
      </w:pPr>
      <w:r>
        <w:rPr>
          <w:rFonts w:eastAsia="Times New Roman" w:cs="Arial"/>
          <w:iCs/>
          <w:color w:themeColor="text1" w:themeTint="bf"/>
          <w:position w:val="0"/>
          <w:sz w:val="21"/>
          <w:sz w:val="21"/>
          <w:vertAlign w:val="baseline"/>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rFonts w:ascii="Arial" w:hAnsi="Arial"/>
          <w:color w:val="auto"/>
          <w:sz w:val="22"/>
          <w:szCs w:val="22"/>
        </w:rPr>
      </w:pPr>
      <w:r>
        <w:rPr>
          <w:rFonts w:eastAsia="Times New Roman" w:cs="Arial" w:ascii="Arial" w:hAnsi="Arial"/>
          <w:iCs/>
          <w:color w:val="auto" w:themeColor="text1" w:themeTint="bf"/>
          <w:position w:val="0"/>
          <w:sz w:val="22"/>
          <w:sz w:val="22"/>
          <w:szCs w:val="22"/>
          <w:vertAlign w:val="baseline"/>
          <w:lang w:eastAsia="it-IT"/>
        </w:rPr>
        <w:t xml:space="preserve">Le risultanze del conto economico al 31.12.2024 sono le seguenti: </w:t>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drawing>
          <wp:anchor behindDoc="0" distT="0" distB="0" distL="0" distR="0" simplePos="0" locked="0" layoutInCell="0" allowOverlap="1" relativeHeight="19">
            <wp:simplePos x="0" y="0"/>
            <wp:positionH relativeFrom="column">
              <wp:align>center</wp:align>
            </wp:positionH>
            <wp:positionV relativeFrom="paragraph">
              <wp:posOffset>635</wp:posOffset>
            </wp:positionV>
            <wp:extent cx="6129020" cy="7543165"/>
            <wp:effectExtent l="0" t="0" r="0" b="0"/>
            <wp:wrapSquare wrapText="largest"/>
            <wp:docPr id="18" name="Immagin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16" descr=""/>
                    <pic:cNvPicPr>
                      <a:picLocks noChangeAspect="1" noChangeArrowheads="1"/>
                    </pic:cNvPicPr>
                  </pic:nvPicPr>
                  <pic:blipFill>
                    <a:blip r:embed="rId21"/>
                    <a:stretch>
                      <a:fillRect/>
                    </a:stretch>
                  </pic:blipFill>
                  <pic:spPr bwMode="auto">
                    <a:xfrm>
                      <a:off x="0" y="0"/>
                      <a:ext cx="6129020" cy="7543165"/>
                    </a:xfrm>
                    <a:prstGeom prst="rect">
                      <a:avLst/>
                    </a:prstGeom>
                  </pic:spPr>
                </pic:pic>
              </a:graphicData>
            </a:graphic>
          </wp:anchor>
        </w:drawing>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drawing>
          <wp:anchor behindDoc="0" distT="0" distB="0" distL="0" distR="0" simplePos="0" locked="0" layoutInCell="0" allowOverlap="1" relativeHeight="20">
            <wp:simplePos x="0" y="0"/>
            <wp:positionH relativeFrom="column">
              <wp:posOffset>-238760</wp:posOffset>
            </wp:positionH>
            <wp:positionV relativeFrom="paragraph">
              <wp:posOffset>-32385</wp:posOffset>
            </wp:positionV>
            <wp:extent cx="6294755" cy="2181225"/>
            <wp:effectExtent l="0" t="0" r="0" b="0"/>
            <wp:wrapSquare wrapText="largest"/>
            <wp:docPr id="19" name="Immagin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17" descr=""/>
                    <pic:cNvPicPr>
                      <a:picLocks noChangeAspect="1" noChangeArrowheads="1"/>
                    </pic:cNvPicPr>
                  </pic:nvPicPr>
                  <pic:blipFill>
                    <a:blip r:embed="rId22"/>
                    <a:stretch>
                      <a:fillRect/>
                    </a:stretch>
                  </pic:blipFill>
                  <pic:spPr bwMode="auto">
                    <a:xfrm>
                      <a:off x="0" y="0"/>
                      <a:ext cx="6294755" cy="2181225"/>
                    </a:xfrm>
                    <a:prstGeom prst="rect">
                      <a:avLst/>
                    </a:prstGeom>
                  </pic:spPr>
                </pic:pic>
              </a:graphicData>
            </a:graphic>
          </wp:anchor>
        </w:drawing>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tabs>
          <w:tab w:val="clear" w:pos="708"/>
          <w:tab w:val="left" w:pos="0" w:leader="none"/>
          <w:tab w:val="left" w:pos="5310" w:leader="none"/>
        </w:tabs>
        <w:overflowPunct w:val="false"/>
        <w:spacing w:lineRule="auto" w:line="240" w:before="0" w:after="120"/>
        <w:ind w:right="0" w:hanging="0"/>
        <w:jc w:val="both"/>
        <w:textAlignment w:val="baseline"/>
        <w:rPr/>
      </w:pPr>
      <w:r>
        <w:rPr>
          <w:rFonts w:eastAsia="Times New Roman" w:cs="Arial" w:ascii="Arial" w:hAnsi="Arial"/>
          <w:iCs/>
          <w:color w:val="auto" w:themeColor="text1" w:themeTint="bf"/>
          <w:position w:val="0"/>
          <w:sz w:val="22"/>
          <w:sz w:val="22"/>
          <w:szCs w:val="22"/>
          <w:vertAlign w:val="baseline"/>
          <w:lang w:eastAsia="it-IT"/>
        </w:rPr>
        <w:t>L’Organo di Revisione prende atto che la Giunta propone al Consiglio di destinare il risultato economico positivo dell’esercizio emergente dalla gestione 2024 pari ad Euro 1.753.376,07 nella seguente maniera:</w:t>
      </w:r>
    </w:p>
    <w:p>
      <w:pPr>
        <w:pStyle w:val="Normal"/>
        <w:widowControl w:val="false"/>
        <w:numPr>
          <w:ilvl w:val="0"/>
          <w:numId w:val="16"/>
        </w:numPr>
        <w:tabs>
          <w:tab w:val="clear" w:pos="708"/>
          <w:tab w:val="left" w:pos="0" w:leader="none"/>
          <w:tab w:val="left" w:pos="5310" w:leader="none"/>
        </w:tabs>
        <w:overflowPunct w:val="false"/>
        <w:spacing w:lineRule="auto" w:line="240" w:before="0" w:after="120"/>
        <w:jc w:val="both"/>
        <w:textAlignment w:val="baseline"/>
        <w:rPr>
          <w:rFonts w:ascii="Arial" w:hAnsi="Arial"/>
          <w:color w:val="auto"/>
          <w:sz w:val="22"/>
          <w:szCs w:val="22"/>
        </w:rPr>
      </w:pPr>
      <w:r>
        <w:rPr>
          <w:rFonts w:ascii="Arial" w:hAnsi="Arial"/>
          <w:color w:val="auto"/>
          <w:sz w:val="22"/>
          <w:szCs w:val="22"/>
        </w:rPr>
        <w:t>Euro 127.627,03 a riserva indisponibile in quanto utile emergente da rivalutazione delle partecipazioni in forza del c.d. “metodo del patrimonio netto”;</w:t>
      </w:r>
    </w:p>
    <w:p>
      <w:pPr>
        <w:pStyle w:val="Normal"/>
        <w:widowControl w:val="false"/>
        <w:numPr>
          <w:ilvl w:val="0"/>
          <w:numId w:val="16"/>
        </w:numPr>
        <w:tabs>
          <w:tab w:val="clear" w:pos="708"/>
          <w:tab w:val="left" w:pos="0" w:leader="none"/>
          <w:tab w:val="left" w:pos="5310" w:leader="none"/>
        </w:tabs>
        <w:overflowPunct w:val="false"/>
        <w:spacing w:lineRule="auto" w:line="240" w:before="0" w:after="120"/>
        <w:jc w:val="both"/>
        <w:textAlignment w:val="baseline"/>
        <w:rPr>
          <w:rFonts w:ascii="Arial" w:hAnsi="Arial"/>
          <w:color w:val="auto"/>
          <w:sz w:val="22"/>
          <w:szCs w:val="22"/>
        </w:rPr>
      </w:pPr>
      <w:r>
        <w:rPr>
          <w:rFonts w:ascii="Arial" w:hAnsi="Arial"/>
          <w:strike w:val="false"/>
          <w:dstrike w:val="false"/>
          <w:color w:val="auto"/>
          <w:sz w:val="22"/>
          <w:szCs w:val="22"/>
          <w:u w:val="none"/>
        </w:rPr>
        <w:t>Euro 1.625.749,04 alla prioritaria riduzione della riserva negativa per beni indisponibili.</w:t>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numPr>
          <w:ilvl w:val="0"/>
          <w:numId w:val="0"/>
        </w:numPr>
        <w:overflowPunct w:val="true"/>
        <w:spacing w:lineRule="auto" w:line="240" w:before="0" w:after="120"/>
        <w:ind w:left="0" w:hanging="0"/>
        <w:jc w:val="center"/>
        <w:textAlignment w:val="baseline"/>
        <w:rPr>
          <w:rFonts w:ascii="Arial" w:hAnsi="Arial" w:eastAsia="Times New Roman" w:cs="Arial"/>
          <w:b/>
          <w:b/>
          <w:bCs/>
          <w:color w:val="auto"/>
          <w:sz w:val="20"/>
          <w:szCs w:val="20"/>
          <w:lang w:eastAsia="it-IT"/>
        </w:rPr>
      </w:pPr>
      <w:r>
        <w:rPr>
          <w:rFonts w:eastAsia="Times New Roman" w:cs="Arial" w:ascii="Arial" w:hAnsi="Arial"/>
          <w:b/>
          <w:bCs/>
          <w:color w:val="auto"/>
          <w:sz w:val="20"/>
          <w:szCs w:val="20"/>
          <w:lang w:eastAsia="it-IT"/>
        </w:rPr>
      </w:r>
    </w:p>
    <w:p>
      <w:pPr>
        <w:pStyle w:val="Titolo1"/>
        <w:numPr>
          <w:ilvl w:val="0"/>
          <w:numId w:val="101"/>
        </w:numPr>
        <w:ind w:left="284" w:hanging="284"/>
        <w:rPr/>
      </w:pPr>
      <w:bookmarkStart w:id="103" w:name="_Toc192667001"/>
      <w:r>
        <w:rPr/>
        <w:t>PNRR e PNC</w:t>
      </w:r>
      <w:bookmarkEnd w:id="103"/>
    </w:p>
    <w:p>
      <w:pPr>
        <w:pStyle w:val="Normal"/>
        <w:suppressAutoHyphens w:val="false"/>
        <w:spacing w:lineRule="auto" w:line="240"/>
        <w:ind w:left="0" w:right="0" w:hanging="0"/>
        <w:jc w:val="both"/>
        <w:textAlignment w:val="baseline"/>
        <w:rPr>
          <w:rFonts w:ascii="Arial" w:hAnsi="Arial"/>
          <w:b w:val="false"/>
          <w:b w:val="false"/>
          <w:bCs w:val="false"/>
          <w:color w:val="auto"/>
        </w:rPr>
      </w:pPr>
      <w:r>
        <w:rPr>
          <w:rFonts w:eastAsia="Times New Roman" w:cs="Arial" w:ascii="Arial" w:hAnsi="Arial"/>
          <w:b w:val="false"/>
          <w:bCs w:val="false"/>
          <w:iCs/>
          <w:color w:val="auto" w:themeColor="text1" w:themeTint="bf"/>
          <w:position w:val="0"/>
          <w:sz w:val="22"/>
          <w:sz w:val="22"/>
          <w:szCs w:val="22"/>
          <w:vertAlign w:val="baseline"/>
          <w:lang w:eastAsia="it-IT"/>
        </w:rPr>
        <w:t xml:space="preserve">L’Organo di revisione ha verificato che l’Ente </w:t>
      </w:r>
      <w:r>
        <w:rPr>
          <w:rFonts w:eastAsia="Times New Roman" w:cs="Arial" w:ascii="Arial" w:hAnsi="Arial"/>
          <w:b/>
          <w:bCs/>
          <w:i/>
          <w:iCs/>
          <w:color w:val="auto" w:themeColor="text1" w:themeTint="bf"/>
          <w:position w:val="0"/>
          <w:sz w:val="22"/>
          <w:sz w:val="22"/>
          <w:szCs w:val="22"/>
          <w:vertAlign w:val="baseline"/>
          <w:lang w:eastAsia="it-IT"/>
        </w:rPr>
        <w:t>ha</w:t>
      </w:r>
      <w:r>
        <w:rPr>
          <w:rFonts w:eastAsia="Times New Roman" w:cs="Arial" w:ascii="Arial" w:hAnsi="Arial"/>
          <w:b/>
          <w:bCs/>
          <w:iCs/>
          <w:color w:val="auto" w:themeColor="text1" w:themeTint="bf"/>
          <w:position w:val="0"/>
          <w:sz w:val="22"/>
          <w:sz w:val="22"/>
          <w:szCs w:val="22"/>
          <w:vertAlign w:val="baseline"/>
          <w:lang w:eastAsia="it-IT"/>
        </w:rPr>
        <w:t xml:space="preserve"> </w:t>
      </w:r>
      <w:r>
        <w:rPr>
          <w:rFonts w:eastAsia="Times New Roman" w:cs="Arial" w:ascii="Arial" w:hAnsi="Arial"/>
          <w:b w:val="false"/>
          <w:bCs w:val="false"/>
          <w:iCs/>
          <w:color w:val="auto" w:themeColor="text1" w:themeTint="bf"/>
          <w:position w:val="0"/>
          <w:sz w:val="22"/>
          <w:sz w:val="22"/>
          <w:szCs w:val="22"/>
          <w:vertAlign w:val="baseline"/>
          <w:lang w:eastAsia="it-IT"/>
        </w:rPr>
        <w:t>correttamente perimetrato i capitoli di entrata e di spesa secondo le indicazioni del D.M. MEF 11 ottobre 2021.</w:t>
      </w:r>
    </w:p>
    <w:p>
      <w:pPr>
        <w:pStyle w:val="Normal"/>
        <w:suppressAutoHyphens w:val="false"/>
        <w:spacing w:lineRule="auto" w:line="240"/>
        <w:ind w:left="0" w:right="0" w:hanging="0"/>
        <w:jc w:val="both"/>
        <w:textAlignment w:val="baseline"/>
        <w:rPr>
          <w:rFonts w:ascii="Arial" w:hAnsi="Arial"/>
          <w:b w:val="false"/>
          <w:b w:val="false"/>
          <w:bCs w:val="false"/>
          <w:color w:val="auto"/>
        </w:rPr>
      </w:pPr>
      <w:r>
        <w:rPr>
          <w:rFonts w:eastAsia="Times New Roman" w:cs="Arial" w:ascii="Arial" w:hAnsi="Arial"/>
          <w:b w:val="false"/>
          <w:bCs w:val="false"/>
          <w:iCs/>
          <w:color w:val="auto" w:themeColor="text1" w:themeTint="bf"/>
          <w:position w:val="0"/>
          <w:sz w:val="22"/>
          <w:sz w:val="22"/>
          <w:szCs w:val="22"/>
          <w:vertAlign w:val="baseline"/>
          <w:lang w:eastAsia="it-IT"/>
        </w:rPr>
        <w:t xml:space="preserve">L’Organo di revisione ha verificato che l’Ente </w:t>
      </w:r>
      <w:r>
        <w:rPr>
          <w:rFonts w:eastAsia="Times New Roman" w:cs="Arial" w:ascii="Arial" w:hAnsi="Arial"/>
          <w:b/>
          <w:bCs/>
          <w:i/>
          <w:iCs/>
          <w:color w:val="auto" w:themeColor="text1" w:themeTint="bf"/>
          <w:position w:val="0"/>
          <w:sz w:val="22"/>
          <w:sz w:val="22"/>
          <w:szCs w:val="22"/>
          <w:vertAlign w:val="baseline"/>
          <w:lang w:eastAsia="it-IT"/>
        </w:rPr>
        <w:t>non si è</w:t>
      </w:r>
      <w:r>
        <w:rPr>
          <w:rFonts w:eastAsia="Times New Roman" w:cs="Arial" w:ascii="Arial" w:hAnsi="Arial"/>
          <w:b w:val="false"/>
          <w:bCs w:val="false"/>
          <w:i/>
          <w:iCs/>
          <w:color w:val="auto" w:themeColor="text1" w:themeTint="bf"/>
          <w:position w:val="0"/>
          <w:sz w:val="22"/>
          <w:sz w:val="22"/>
          <w:szCs w:val="22"/>
          <w:vertAlign w:val="baseline"/>
          <w:lang w:eastAsia="it-IT"/>
        </w:rPr>
        <w:t xml:space="preserve"> avvalso</w:t>
      </w:r>
      <w:r>
        <w:rPr>
          <w:rFonts w:eastAsia="Times New Roman" w:cs="Arial" w:ascii="Arial" w:hAnsi="Arial"/>
          <w:b w:val="false"/>
          <w:bCs w:val="false"/>
          <w:iCs/>
          <w:color w:val="auto" w:themeColor="text1" w:themeTint="bf"/>
          <w:position w:val="0"/>
          <w:sz w:val="22"/>
          <w:sz w:val="22"/>
          <w:szCs w:val="22"/>
          <w:vertAlign w:val="baseline"/>
          <w:lang w:eastAsia="it-IT"/>
        </w:rPr>
        <w:t xml:space="preserve"> delle deroghe assunzionali a tempo determinato per il PNRR.</w:t>
      </w:r>
    </w:p>
    <w:p>
      <w:pPr>
        <w:pStyle w:val="Normal"/>
        <w:suppressAutoHyphens w:val="false"/>
        <w:spacing w:lineRule="auto" w:line="240"/>
        <w:ind w:left="0" w:right="0" w:hanging="0"/>
        <w:jc w:val="both"/>
        <w:textAlignment w:val="baseline"/>
        <w:rPr>
          <w:rFonts w:ascii="Arial" w:hAnsi="Arial"/>
          <w:b w:val="false"/>
          <w:b w:val="false"/>
          <w:bCs w:val="false"/>
          <w:color w:val="auto"/>
        </w:rPr>
      </w:pPr>
      <w:r>
        <w:rPr>
          <w:rFonts w:eastAsia="Times New Roman" w:cs="Arial" w:ascii="Arial" w:hAnsi="Arial"/>
          <w:b w:val="false"/>
          <w:bCs w:val="false"/>
          <w:iCs/>
          <w:color w:val="auto" w:themeColor="text1" w:themeTint="bf"/>
          <w:position w:val="0"/>
          <w:sz w:val="22"/>
          <w:sz w:val="22"/>
          <w:szCs w:val="22"/>
          <w:vertAlign w:val="baseline"/>
          <w:lang w:eastAsia="it-IT"/>
        </w:rPr>
        <w:t xml:space="preserve">L’Organo di revisione ha verificato </w:t>
      </w:r>
      <w:r>
        <w:rPr>
          <w:rFonts w:eastAsia="Calibri" w:cs="Arial" w:ascii="Arial" w:hAnsi="Arial"/>
          <w:b w:val="false"/>
          <w:bCs w:val="false"/>
          <w:iCs/>
          <w:color w:val="000000"/>
          <w:position w:val="0"/>
          <w:sz w:val="22"/>
          <w:sz w:val="22"/>
          <w:szCs w:val="22"/>
          <w:shd w:fill="auto" w:val="clear"/>
          <w:vertAlign w:val="baseline"/>
          <w:lang w:eastAsia="it-IT"/>
        </w:rPr>
        <w:t>che l</w:t>
      </w:r>
      <w:r>
        <w:rPr>
          <w:rFonts w:eastAsia="Times New Roman" w:cs="Arial" w:ascii="Arial" w:hAnsi="Arial"/>
          <w:b w:val="false"/>
          <w:bCs w:val="false"/>
          <w:iCs/>
          <w:color w:val="auto"/>
          <w:position w:val="0"/>
          <w:sz w:val="22"/>
          <w:sz w:val="22"/>
          <w:szCs w:val="22"/>
          <w:vertAlign w:val="baseline"/>
          <w:lang w:eastAsia="it-IT"/>
        </w:rPr>
        <w:t xml:space="preserve">’operazione di riaccertamento ha determinato la riallocazione di entrate e di spese relativi a progetti PNRR che diverranno esigibili nell’esercizio 2025, nella seguente maniera: </w:t>
        <w:tab/>
      </w:r>
    </w:p>
    <w:p>
      <w:pPr>
        <w:pStyle w:val="Normal"/>
        <w:rPr>
          <w:rFonts w:ascii="Arial" w:hAnsi="Arial"/>
          <w:color w:val="auto"/>
          <w:sz w:val="22"/>
          <w:szCs w:val="22"/>
        </w:rPr>
      </w:pPr>
      <w:r>
        <w:rPr>
          <w:rFonts w:ascii="Arial" w:hAnsi="Arial"/>
          <w:color w:val="auto"/>
          <w:sz w:val="22"/>
          <w:szCs w:val="22"/>
        </w:rPr>
        <w:t xml:space="preserve">PARTE CORRENTE: </w:t>
      </w:r>
      <w:r>
        <w:rPr>
          <w:rFonts w:ascii="Arial" w:hAnsi="Arial"/>
          <w:b w:val="false"/>
          <w:bCs w:val="false"/>
          <w:color w:val="auto"/>
          <w:sz w:val="22"/>
          <w:szCs w:val="22"/>
        </w:rPr>
        <w:t>Euro 65.811,68;</w:t>
      </w:r>
    </w:p>
    <w:p>
      <w:pPr>
        <w:pStyle w:val="Normal"/>
        <w:rPr>
          <w:rFonts w:ascii="Arial" w:hAnsi="Arial"/>
          <w:color w:val="auto"/>
          <w:sz w:val="22"/>
          <w:szCs w:val="22"/>
        </w:rPr>
      </w:pPr>
      <w:r>
        <w:rPr>
          <w:rFonts w:ascii="Arial" w:hAnsi="Arial"/>
          <w:color w:val="auto"/>
          <w:sz w:val="22"/>
          <w:szCs w:val="22"/>
        </w:rPr>
        <w:t>PARTE CAPITALE: Euro 705.324,99;</w:t>
      </w:r>
    </w:p>
    <w:p>
      <w:pPr>
        <w:pStyle w:val="Normal"/>
        <w:suppressAutoHyphens w:val="false"/>
        <w:spacing w:lineRule="auto" w:line="240"/>
        <w:ind w:left="0" w:right="0" w:hanging="0"/>
        <w:jc w:val="both"/>
        <w:textAlignment w:val="baseline"/>
        <w:rPr>
          <w:rFonts w:ascii="Arial" w:hAnsi="Arial"/>
          <w:b w:val="false"/>
          <w:b w:val="false"/>
          <w:bCs w:val="false"/>
          <w:color w:val="auto"/>
        </w:rPr>
      </w:pPr>
      <w:r>
        <w:rPr>
          <w:rFonts w:eastAsia="Times New Roman" w:cs="Times New Roman" w:ascii="Arial" w:hAnsi="Arial"/>
          <w:b w:val="false"/>
          <w:bCs w:val="false"/>
          <w:iCs/>
          <w:color w:val="000000" w:themeTint="bf"/>
          <w:position w:val="0"/>
          <w:sz w:val="22"/>
          <w:sz w:val="22"/>
          <w:szCs w:val="22"/>
          <w:shd w:fill="auto" w:val="clear"/>
          <w:vertAlign w:val="baseline"/>
          <w:lang w:eastAsia="it-IT"/>
        </w:rPr>
        <w:t>- Sono presenti inoltre risorse derivanti dal PNRR nell’avanzo vincolato, relativamente alle entrate accertate e incassate nell’anno 2024 ma non impegnate;</w:t>
      </w:r>
    </w:p>
    <w:p>
      <w:pPr>
        <w:pStyle w:val="Normal"/>
        <w:spacing w:lineRule="auto" w:line="240" w:before="0" w:after="0"/>
        <w:ind w:left="0" w:right="0" w:hanging="0"/>
        <w:jc w:val="both"/>
        <w:rPr>
          <w:rFonts w:ascii="Arial" w:hAnsi="Arial"/>
          <w:b w:val="false"/>
          <w:b w:val="false"/>
          <w:bCs w:val="false"/>
          <w:color w:val="auto"/>
        </w:rPr>
      </w:pPr>
      <w:r>
        <w:rPr>
          <w:rFonts w:eastAsia="Times New Roman" w:cs="Arial" w:ascii="Arial" w:hAnsi="Arial"/>
          <w:b w:val="false"/>
          <w:bCs w:val="false"/>
          <w:iCs/>
          <w:color w:val="auto" w:themeColor="text1" w:themeTint="bf"/>
          <w:position w:val="0"/>
          <w:sz w:val="22"/>
          <w:sz w:val="22"/>
          <w:szCs w:val="22"/>
          <w:vertAlign w:val="baseline"/>
          <w:lang w:eastAsia="it-IT"/>
        </w:rPr>
        <w:t>L’Organo di revisione prende atto dei progetti riconosciuti e finanziati con fondi PNRR riportati nel prospetto sotto. Gli importi si riferiscono agli impegni di spesa registrati nell’anno</w:t>
      </w:r>
    </w:p>
    <w:p>
      <w:pPr>
        <w:pStyle w:val="Normal"/>
        <w:spacing w:lineRule="auto" w:line="240" w:before="0" w:after="0"/>
        <w:ind w:left="0" w:right="0" w:hanging="0"/>
        <w:jc w:val="both"/>
        <w:rPr>
          <w:rFonts w:eastAsia="Times New Roman" w:cs="Arial"/>
          <w:iCs/>
          <w:color w:themeColor="text1" w:themeTint="bf"/>
          <w:position w:val="0"/>
          <w:sz w:val="22"/>
          <w:sz w:val="22"/>
          <w:szCs w:val="22"/>
          <w:vertAlign w:val="baseline"/>
          <w:lang w:eastAsia="it-IT"/>
        </w:rPr>
      </w:pPr>
      <w:r>
        <w:rPr>
          <w:rFonts w:eastAsia="Times New Roman" w:cs="Arial"/>
          <w:iCs/>
          <w:color w:themeColor="text1" w:themeTint="bf"/>
          <w:position w:val="0"/>
          <w:sz w:val="22"/>
          <w:sz w:val="22"/>
          <w:szCs w:val="22"/>
          <w:vertAlign w:val="baseline"/>
          <w:lang w:eastAsia="it-IT"/>
        </w:rPr>
      </w:r>
    </w:p>
    <w:p>
      <w:pPr>
        <w:pStyle w:val="Normal"/>
        <w:spacing w:lineRule="auto" w:line="240" w:before="0" w:after="0"/>
        <w:ind w:left="0" w:right="0" w:hanging="0"/>
        <w:jc w:val="both"/>
        <w:rPr>
          <w:rFonts w:eastAsia="Times New Roman" w:cs="Arial"/>
          <w:iCs/>
          <w:color w:themeColor="text1" w:themeTint="bf"/>
          <w:position w:val="0"/>
          <w:sz w:val="22"/>
          <w:sz w:val="22"/>
          <w:szCs w:val="22"/>
          <w:vertAlign w:val="baseline"/>
          <w:lang w:eastAsia="it-IT"/>
        </w:rPr>
      </w:pPr>
      <w:r>
        <w:rPr>
          <w:rFonts w:eastAsia="Times New Roman" w:cs="Arial"/>
          <w:iCs/>
          <w:color w:themeColor="text1" w:themeTint="bf"/>
          <w:position w:val="0"/>
          <w:sz w:val="22"/>
          <w:sz w:val="22"/>
          <w:szCs w:val="22"/>
          <w:vertAlign w:val="baseline"/>
          <w:lang w:eastAsia="it-IT"/>
        </w:rPr>
      </w:r>
    </w:p>
    <w:p>
      <w:pPr>
        <w:pStyle w:val="Normal"/>
        <w:spacing w:lineRule="auto" w:line="240" w:before="0" w:after="0"/>
        <w:ind w:left="0" w:right="0" w:hanging="0"/>
        <w:jc w:val="both"/>
        <w:rPr>
          <w:rFonts w:eastAsia="Times New Roman" w:cs="Arial"/>
          <w:iCs/>
          <w:color w:themeColor="text1" w:themeTint="bf"/>
          <w:position w:val="0"/>
          <w:sz w:val="22"/>
          <w:sz w:val="22"/>
          <w:szCs w:val="22"/>
          <w:vertAlign w:val="baseline"/>
          <w:lang w:eastAsia="it-IT"/>
        </w:rPr>
      </w:pPr>
      <w:r>
        <w:rPr>
          <w:rFonts w:eastAsia="Times New Roman" w:cs="Arial"/>
          <w:iCs/>
          <w:color w:themeColor="text1" w:themeTint="bf"/>
          <w:position w:val="0"/>
          <w:sz w:val="22"/>
          <w:sz w:val="22"/>
          <w:szCs w:val="22"/>
          <w:vertAlign w:val="baseline"/>
          <w:lang w:eastAsia="it-IT"/>
        </w:rPr>
      </w:r>
    </w:p>
    <w:p>
      <w:pPr>
        <w:pStyle w:val="Normal"/>
        <w:spacing w:lineRule="auto" w:line="240" w:before="0" w:after="0"/>
        <w:ind w:left="0" w:right="0" w:hanging="0"/>
        <w:jc w:val="both"/>
        <w:rPr>
          <w:rFonts w:eastAsia="Times New Roman" w:cs="Arial"/>
          <w:iCs/>
          <w:color w:themeColor="text1" w:themeTint="bf"/>
          <w:position w:val="0"/>
          <w:sz w:val="22"/>
          <w:sz w:val="22"/>
          <w:szCs w:val="22"/>
          <w:vertAlign w:val="baseline"/>
          <w:lang w:eastAsia="it-IT"/>
        </w:rPr>
      </w:pPr>
      <w:r>
        <w:rPr>
          <w:rFonts w:eastAsia="Times New Roman" w:cs="Arial"/>
          <w:iCs/>
          <w:color w:themeColor="text1" w:themeTint="bf"/>
          <w:position w:val="0"/>
          <w:sz w:val="22"/>
          <w:sz w:val="22"/>
          <w:szCs w:val="22"/>
          <w:vertAlign w:val="baseline"/>
          <w:lang w:eastAsia="it-IT"/>
        </w:rPr>
        <w:drawing>
          <wp:anchor behindDoc="0" distT="0" distB="0" distL="0" distR="0" simplePos="0" locked="0" layoutInCell="0" allowOverlap="1" relativeHeight="21">
            <wp:simplePos x="0" y="0"/>
            <wp:positionH relativeFrom="column">
              <wp:align>center</wp:align>
            </wp:positionH>
            <wp:positionV relativeFrom="paragraph">
              <wp:posOffset>635</wp:posOffset>
            </wp:positionV>
            <wp:extent cx="5759450" cy="3736340"/>
            <wp:effectExtent l="0" t="0" r="0" b="0"/>
            <wp:wrapSquare wrapText="largest"/>
            <wp:docPr id="20" name="Immagin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magine18" descr=""/>
                    <pic:cNvPicPr>
                      <a:picLocks noChangeAspect="1" noChangeArrowheads="1"/>
                    </pic:cNvPicPr>
                  </pic:nvPicPr>
                  <pic:blipFill>
                    <a:blip r:embed="rId23"/>
                    <a:stretch>
                      <a:fillRect/>
                    </a:stretch>
                  </pic:blipFill>
                  <pic:spPr bwMode="auto">
                    <a:xfrm>
                      <a:off x="0" y="0"/>
                      <a:ext cx="5759450" cy="3736340"/>
                    </a:xfrm>
                    <a:prstGeom prst="rect">
                      <a:avLst/>
                    </a:prstGeom>
                  </pic:spPr>
                </pic:pic>
              </a:graphicData>
            </a:graphic>
          </wp:anchor>
        </w:drawing>
      </w:r>
    </w:p>
    <w:p>
      <w:pPr>
        <w:pStyle w:val="Normal"/>
        <w:spacing w:lineRule="auto" w:line="240" w:before="0" w:after="0"/>
        <w:ind w:left="0" w:right="0" w:hanging="0"/>
        <w:jc w:val="both"/>
        <w:rPr>
          <w:rFonts w:eastAsia="Times New Roman" w:cs="Arial"/>
          <w:iCs/>
          <w:color w:themeColor="text1" w:themeTint="bf"/>
          <w:position w:val="0"/>
          <w:sz w:val="22"/>
          <w:sz w:val="22"/>
          <w:szCs w:val="22"/>
          <w:vertAlign w:val="baseline"/>
          <w:lang w:eastAsia="it-IT"/>
        </w:rPr>
      </w:pPr>
      <w:r>
        <w:rPr>
          <w:rFonts w:eastAsia="Times New Roman" w:cs="Arial"/>
          <w:iCs/>
          <w:color w:themeColor="text1" w:themeTint="bf"/>
          <w:position w:val="0"/>
          <w:sz w:val="22"/>
          <w:sz w:val="22"/>
          <w:szCs w:val="22"/>
          <w:vertAlign w:val="baseline"/>
          <w:lang w:eastAsia="it-IT"/>
        </w:rPr>
      </w:r>
    </w:p>
    <w:p>
      <w:pPr>
        <w:pStyle w:val="Normal"/>
        <w:spacing w:lineRule="auto" w:line="240" w:before="0" w:after="0"/>
        <w:ind w:left="0" w:right="0" w:hanging="0"/>
        <w:jc w:val="both"/>
        <w:rPr>
          <w:rFonts w:eastAsia="Times New Roman" w:cs="Arial"/>
          <w:iCs/>
          <w:color w:themeColor="text1" w:themeTint="bf"/>
          <w:position w:val="0"/>
          <w:sz w:val="22"/>
          <w:sz w:val="22"/>
          <w:szCs w:val="22"/>
          <w:vertAlign w:val="baseline"/>
          <w:lang w:eastAsia="it-IT"/>
        </w:rPr>
      </w:pPr>
      <w:r>
        <w:rPr>
          <w:rFonts w:eastAsia="Times New Roman" w:cs="Arial"/>
          <w:iCs/>
          <w:color w:themeColor="text1" w:themeTint="bf"/>
          <w:position w:val="0"/>
          <w:sz w:val="22"/>
          <w:sz w:val="22"/>
          <w:szCs w:val="22"/>
          <w:vertAlign w:val="baseline"/>
          <w:lang w:eastAsia="it-IT"/>
        </w:rPr>
      </w:r>
    </w:p>
    <w:p>
      <w:pPr>
        <w:pStyle w:val="Titolo1"/>
        <w:numPr>
          <w:ilvl w:val="0"/>
          <w:numId w:val="102"/>
        </w:numPr>
        <w:ind w:left="284" w:hanging="284"/>
        <w:rPr/>
      </w:pPr>
      <w:bookmarkStart w:id="104" w:name="_Toc192667002"/>
      <w:r>
        <w:rPr/>
        <w:t>Relazione della Giunta al Rendiconto</w:t>
      </w:r>
      <w:bookmarkEnd w:id="104"/>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L’Organo di revisione prende atto che la Giunta comunale ha predisposto la Relazione con gli schemi di Rendiconto alla gestione 2024 in aderenza a quanto previsto dall’art. 231 del TUEL, secondo le modalità previste dall’art.11, comma 6 del d.lgs.118/2011 e dal punto 13.1 del principio contabile all.4/1 composti da </w:t>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a)</w:t>
        <w:tab/>
        <w:t xml:space="preserve">il conto del bilancio relativo alla gestione finanziaria e i relativi riepiloghi, </w:t>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b)</w:t>
        <w:tab/>
        <w:t>il quadro generale riassuntivo,</w:t>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c)</w:t>
        <w:tab/>
        <w:t xml:space="preserve">la verifica degli equilibri, </w:t>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d)</w:t>
        <w:tab/>
        <w:t xml:space="preserve">il conto economico, </w:t>
      </w:r>
    </w:p>
    <w:p>
      <w:pPr>
        <w:pStyle w:val="Normal"/>
        <w:widowControl w:val="false"/>
        <w:numPr>
          <w:ilvl w:val="0"/>
          <w:numId w:val="0"/>
        </w:numPr>
        <w:overflowPunct w:val="true"/>
        <w:spacing w:lineRule="auto" w:line="240" w:before="0" w:after="120"/>
        <w:ind w:left="0" w:hanging="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e)</w:t>
        <w:tab/>
        <w:t>lo stato patrimoniale.</w:t>
      </w:r>
    </w:p>
    <w:p>
      <w:pPr>
        <w:pStyle w:val="Normal"/>
        <w:widowControl w:val="false"/>
        <w:overflowPunct w:val="true"/>
        <w:spacing w:lineRule="auto" w:line="240" w:before="0" w:after="120"/>
        <w:textAlignment w:val="baseline"/>
        <w:rPr>
          <w:rFonts w:ascii="Arial" w:hAnsi="Arial" w:eastAsia="Times New Roman" w:cs="Arial"/>
          <w:i/>
          <w:i/>
          <w:iCs/>
          <w:color w:val="00B0F0"/>
          <w:szCs w:val="22"/>
          <w:lang w:eastAsia="it-IT"/>
        </w:rPr>
      </w:pPr>
      <w:r>
        <w:rPr>
          <w:rFonts w:eastAsia="Times New Roman" w:cs="Arial" w:ascii="Arial" w:hAnsi="Arial"/>
          <w:i/>
          <w:iCs/>
          <w:color w:val="00B0F0"/>
          <w:szCs w:val="22"/>
          <w:lang w:eastAsia="it-IT"/>
        </w:rPr>
        <w:t xml:space="preserve"> </w:t>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t xml:space="preserve">Nella relazione </w:t>
      </w:r>
      <w:r>
        <w:rPr>
          <w:rFonts w:eastAsia="Times New Roman" w:cs="Arial" w:ascii="Arial" w:hAnsi="Arial"/>
          <w:b/>
          <w:i/>
          <w:color w:val="auto"/>
          <w:szCs w:val="22"/>
          <w:lang w:eastAsia="it-IT"/>
        </w:rPr>
        <w:t>sono</w:t>
      </w:r>
      <w:r>
        <w:rPr>
          <w:rFonts w:eastAsia="Times New Roman" w:cs="Arial" w:ascii="Arial" w:hAnsi="Arial"/>
          <w:color w:val="auto"/>
          <w:szCs w:val="22"/>
          <w:lang w:eastAsia="it-IT"/>
        </w:rPr>
        <w:t xml:space="preserve"> illustrati, i criteri di valutazione utilizzati, la gestione dell’Ente nonché i fatti di rilievo verificatisi dopo la chiusura dell’esercizio.</w:t>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color w:val="auto"/>
          <w:szCs w:val="22"/>
          <w:lang w:eastAsia="it-IT"/>
        </w:rPr>
      </w:pPr>
      <w:r>
        <w:rPr>
          <w:rFonts w:eastAsia="Times New Roman" w:cs="Arial" w:ascii="Arial" w:hAnsi="Arial"/>
          <w:color w:val="auto"/>
          <w:szCs w:val="22"/>
          <w:lang w:eastAsia="it-IT"/>
        </w:rPr>
      </w:r>
    </w:p>
    <w:p>
      <w:pPr>
        <w:pStyle w:val="Normal"/>
        <w:widowControl w:val="false"/>
        <w:tabs>
          <w:tab w:val="left" w:pos="708" w:leader="none"/>
          <w:tab w:val="center" w:pos="4819" w:leader="none"/>
          <w:tab w:val="right" w:pos="9638" w:leader="none"/>
        </w:tabs>
        <w:overflowPunct w:val="true"/>
        <w:spacing w:lineRule="auto" w:line="240" w:before="240" w:after="120"/>
        <w:textAlignment w:val="baseline"/>
        <w:rPr>
          <w:rFonts w:ascii="Arial" w:hAnsi="Arial" w:eastAsia="Times New Roman" w:cs="Arial"/>
          <w:i/>
          <w:i/>
          <w:iCs/>
          <w:color w:val="auto"/>
          <w:szCs w:val="22"/>
          <w:lang w:eastAsia="it-IT"/>
        </w:rPr>
      </w:pPr>
      <w:r>
        <w:rPr>
          <w:rFonts w:eastAsia="Times New Roman" w:cs="Arial" w:ascii="Arial" w:hAnsi="Arial"/>
          <w:i/>
          <w:iCs/>
          <w:color w:val="auto"/>
          <w:szCs w:val="22"/>
          <w:lang w:eastAsia="it-IT"/>
        </w:rPr>
      </w:r>
    </w:p>
    <w:p>
      <w:pPr>
        <w:pStyle w:val="Normal"/>
        <w:widowControl w:val="false"/>
        <w:tabs>
          <w:tab w:val="left" w:pos="708" w:leader="none"/>
          <w:tab w:val="center" w:pos="4819" w:leader="none"/>
          <w:tab w:val="right" w:pos="9638" w:leader="none"/>
        </w:tabs>
        <w:overflowPunct w:val="true"/>
        <w:spacing w:lineRule="auto" w:line="240" w:before="240" w:after="120"/>
        <w:textAlignment w:val="baseline"/>
        <w:rPr>
          <w:rFonts w:ascii="Arial" w:hAnsi="Arial" w:eastAsia="Times New Roman" w:cs="Arial"/>
          <w:i/>
          <w:i/>
          <w:iCs/>
          <w:color w:val="auto"/>
          <w:szCs w:val="22"/>
          <w:lang w:eastAsia="it-IT"/>
        </w:rPr>
      </w:pPr>
      <w:r>
        <w:rPr>
          <w:rFonts w:eastAsia="Times New Roman" w:cs="Arial" w:ascii="Arial" w:hAnsi="Arial"/>
          <w:i/>
          <w:iCs/>
          <w:color w:val="auto"/>
          <w:szCs w:val="22"/>
          <w:lang w:eastAsia="it-IT"/>
        </w:rPr>
      </w:r>
    </w:p>
    <w:p>
      <w:pPr>
        <w:pStyle w:val="Normal"/>
        <w:widowControl w:val="false"/>
        <w:tabs>
          <w:tab w:val="left" w:pos="708" w:leader="none"/>
          <w:tab w:val="center" w:pos="4819" w:leader="none"/>
          <w:tab w:val="right" w:pos="9638" w:leader="none"/>
        </w:tabs>
        <w:overflowPunct w:val="true"/>
        <w:spacing w:lineRule="auto" w:line="240" w:before="240" w:after="120"/>
        <w:textAlignment w:val="baseline"/>
        <w:rPr>
          <w:rFonts w:ascii="Arial" w:hAnsi="Arial" w:eastAsia="Times New Roman" w:cs="Arial"/>
          <w:i/>
          <w:i/>
          <w:iCs/>
          <w:color w:val="auto"/>
          <w:szCs w:val="22"/>
          <w:lang w:eastAsia="it-IT"/>
        </w:rPr>
      </w:pPr>
      <w:r>
        <w:rPr>
          <w:rFonts w:eastAsia="Times New Roman" w:cs="Arial" w:ascii="Arial" w:hAnsi="Arial"/>
          <w:i/>
          <w:iCs/>
          <w:color w:val="auto"/>
          <w:szCs w:val="22"/>
          <w:lang w:eastAsia="it-IT"/>
        </w:rPr>
      </w:r>
    </w:p>
    <w:p>
      <w:pPr>
        <w:pStyle w:val="Normal"/>
        <w:widowControl w:val="false"/>
        <w:tabs>
          <w:tab w:val="left" w:pos="708" w:leader="none"/>
          <w:tab w:val="center" w:pos="4819" w:leader="none"/>
          <w:tab w:val="right" w:pos="9638" w:leader="none"/>
        </w:tabs>
        <w:overflowPunct w:val="true"/>
        <w:spacing w:lineRule="auto" w:line="240" w:before="240" w:after="120"/>
        <w:textAlignment w:val="baseline"/>
        <w:rPr>
          <w:rFonts w:ascii="Arial" w:hAnsi="Arial" w:eastAsia="Times New Roman" w:cs="Arial"/>
          <w:i/>
          <w:i/>
          <w:iCs/>
          <w:color w:val="auto"/>
          <w:szCs w:val="22"/>
          <w:lang w:eastAsia="it-IT"/>
        </w:rPr>
      </w:pPr>
      <w:r>
        <w:rPr>
          <w:rFonts w:eastAsia="Times New Roman" w:cs="Arial" w:ascii="Arial" w:hAnsi="Arial"/>
          <w:i/>
          <w:iCs/>
          <w:color w:val="auto"/>
          <w:szCs w:val="22"/>
          <w:lang w:eastAsia="it-IT"/>
        </w:rPr>
      </w:r>
    </w:p>
    <w:p>
      <w:pPr>
        <w:pStyle w:val="Normal"/>
        <w:widowControl w:val="false"/>
        <w:tabs>
          <w:tab w:val="left" w:pos="708" w:leader="none"/>
          <w:tab w:val="center" w:pos="4819" w:leader="none"/>
          <w:tab w:val="right" w:pos="9638" w:leader="none"/>
        </w:tabs>
        <w:overflowPunct w:val="true"/>
        <w:spacing w:lineRule="auto" w:line="240" w:before="240" w:after="120"/>
        <w:textAlignment w:val="baseline"/>
        <w:rPr>
          <w:rFonts w:ascii="Arial" w:hAnsi="Arial" w:eastAsia="Times New Roman" w:cs="Arial"/>
          <w:i/>
          <w:i/>
          <w:iCs/>
          <w:color w:val="auto"/>
          <w:szCs w:val="22"/>
          <w:lang w:eastAsia="it-IT"/>
        </w:rPr>
      </w:pPr>
      <w:r>
        <w:rPr>
          <w:rFonts w:eastAsia="Times New Roman" w:cs="Arial" w:ascii="Arial" w:hAnsi="Arial"/>
          <w:i/>
          <w:iCs/>
          <w:color w:val="auto"/>
          <w:szCs w:val="22"/>
          <w:lang w:eastAsia="it-IT"/>
        </w:rPr>
      </w:r>
    </w:p>
    <w:p>
      <w:pPr>
        <w:pStyle w:val="Normal"/>
        <w:widowControl w:val="false"/>
        <w:tabs>
          <w:tab w:val="left" w:pos="708" w:leader="none"/>
          <w:tab w:val="center" w:pos="4819" w:leader="none"/>
          <w:tab w:val="right" w:pos="9638" w:leader="none"/>
        </w:tabs>
        <w:overflowPunct w:val="true"/>
        <w:spacing w:lineRule="auto" w:line="240" w:before="240" w:after="120"/>
        <w:textAlignment w:val="baseline"/>
        <w:rPr>
          <w:rFonts w:ascii="Arial" w:hAnsi="Arial" w:eastAsia="Times New Roman" w:cs="Arial"/>
          <w:i/>
          <w:i/>
          <w:iCs/>
          <w:color w:val="auto"/>
          <w:szCs w:val="22"/>
          <w:lang w:eastAsia="it-IT"/>
        </w:rPr>
      </w:pPr>
      <w:r>
        <w:rPr>
          <w:rFonts w:eastAsia="Times New Roman" w:cs="Arial" w:ascii="Arial" w:hAnsi="Arial"/>
          <w:i/>
          <w:iCs/>
          <w:color w:val="auto"/>
          <w:szCs w:val="22"/>
          <w:lang w:eastAsia="it-IT"/>
        </w:rPr>
      </w:r>
    </w:p>
    <w:p>
      <w:pPr>
        <w:pStyle w:val="Normal"/>
        <w:widowControl w:val="false"/>
        <w:tabs>
          <w:tab w:val="left" w:pos="708" w:leader="none"/>
          <w:tab w:val="center" w:pos="4819" w:leader="none"/>
          <w:tab w:val="right" w:pos="9638" w:leader="none"/>
        </w:tabs>
        <w:overflowPunct w:val="true"/>
        <w:spacing w:lineRule="auto" w:line="240" w:before="240" w:after="120"/>
        <w:textAlignment w:val="baseline"/>
        <w:rPr>
          <w:rFonts w:ascii="Arial" w:hAnsi="Arial" w:eastAsia="Times New Roman" w:cs="Arial"/>
          <w:i/>
          <w:i/>
          <w:iCs/>
          <w:color w:val="auto"/>
          <w:szCs w:val="22"/>
          <w:lang w:eastAsia="it-IT"/>
        </w:rPr>
      </w:pPr>
      <w:r>
        <w:rPr>
          <w:rFonts w:eastAsia="Times New Roman" w:cs="Arial" w:ascii="Arial" w:hAnsi="Arial"/>
          <w:i/>
          <w:iCs/>
          <w:color w:val="auto"/>
          <w:szCs w:val="22"/>
          <w:lang w:eastAsia="it-IT"/>
        </w:rPr>
      </w:r>
    </w:p>
    <w:p>
      <w:pPr>
        <w:pStyle w:val="Normal"/>
        <w:widowControl w:val="false"/>
        <w:tabs>
          <w:tab w:val="left" w:pos="708" w:leader="none"/>
          <w:tab w:val="center" w:pos="4819" w:leader="none"/>
          <w:tab w:val="right" w:pos="9638" w:leader="none"/>
        </w:tabs>
        <w:overflowPunct w:val="true"/>
        <w:spacing w:lineRule="auto" w:line="240" w:before="240" w:after="120"/>
        <w:textAlignment w:val="baseline"/>
        <w:rPr>
          <w:rFonts w:ascii="Arial" w:hAnsi="Arial" w:eastAsia="Times New Roman" w:cs="Arial"/>
          <w:i/>
          <w:i/>
          <w:iCs/>
          <w:color w:val="auto"/>
          <w:szCs w:val="22"/>
          <w:lang w:eastAsia="it-IT"/>
        </w:rPr>
      </w:pPr>
      <w:r>
        <w:rPr>
          <w:rFonts w:eastAsia="Times New Roman" w:cs="Arial" w:ascii="Arial" w:hAnsi="Arial"/>
          <w:i/>
          <w:iCs/>
          <w:color w:val="auto"/>
          <w:szCs w:val="22"/>
          <w:lang w:eastAsia="it-IT"/>
        </w:rPr>
      </w:r>
    </w:p>
    <w:p>
      <w:pPr>
        <w:pStyle w:val="Normal"/>
        <w:widowControl w:val="false"/>
        <w:tabs>
          <w:tab w:val="left" w:pos="708" w:leader="none"/>
          <w:tab w:val="center" w:pos="4819" w:leader="none"/>
          <w:tab w:val="right" w:pos="9638" w:leader="none"/>
        </w:tabs>
        <w:overflowPunct w:val="true"/>
        <w:spacing w:lineRule="auto" w:line="240" w:before="240" w:after="120"/>
        <w:textAlignment w:val="baseline"/>
        <w:rPr>
          <w:rFonts w:ascii="Arial" w:hAnsi="Arial" w:eastAsia="Times New Roman" w:cs="Arial"/>
          <w:i/>
          <w:i/>
          <w:iCs/>
          <w:color w:val="auto"/>
          <w:szCs w:val="22"/>
          <w:lang w:eastAsia="it-IT"/>
        </w:rPr>
      </w:pPr>
      <w:r>
        <w:rPr>
          <w:rFonts w:eastAsia="Times New Roman" w:cs="Arial" w:ascii="Arial" w:hAnsi="Arial"/>
          <w:i/>
          <w:iCs/>
          <w:color w:val="auto"/>
          <w:szCs w:val="22"/>
          <w:lang w:eastAsia="it-IT"/>
        </w:rPr>
      </w:r>
    </w:p>
    <w:p>
      <w:pPr>
        <w:pStyle w:val="Normal"/>
        <w:widowControl w:val="false"/>
        <w:tabs>
          <w:tab w:val="left" w:pos="708" w:leader="none"/>
          <w:tab w:val="center" w:pos="4819" w:leader="none"/>
          <w:tab w:val="right" w:pos="9638" w:leader="none"/>
        </w:tabs>
        <w:overflowPunct w:val="true"/>
        <w:spacing w:lineRule="auto" w:line="240" w:before="240" w:after="120"/>
        <w:textAlignment w:val="baseline"/>
        <w:rPr>
          <w:rFonts w:ascii="Arial" w:hAnsi="Arial" w:eastAsia="Times New Roman" w:cs="Arial"/>
          <w:i/>
          <w:i/>
          <w:iCs/>
          <w:color w:val="auto"/>
          <w:szCs w:val="22"/>
          <w:lang w:eastAsia="it-IT"/>
        </w:rPr>
      </w:pPr>
      <w:r>
        <w:rPr>
          <w:rFonts w:eastAsia="Times New Roman" w:cs="Arial" w:ascii="Arial" w:hAnsi="Arial"/>
          <w:i/>
          <w:iCs/>
          <w:color w:val="auto"/>
          <w:szCs w:val="22"/>
          <w:lang w:eastAsia="it-IT"/>
        </w:rPr>
      </w:r>
    </w:p>
    <w:p>
      <w:pPr>
        <w:pStyle w:val="Normal"/>
        <w:widowControl w:val="false"/>
        <w:tabs>
          <w:tab w:val="left" w:pos="708" w:leader="none"/>
          <w:tab w:val="center" w:pos="4819" w:leader="none"/>
          <w:tab w:val="right" w:pos="9638" w:leader="none"/>
        </w:tabs>
        <w:overflowPunct w:val="true"/>
        <w:spacing w:lineRule="auto" w:line="240" w:before="240" w:after="120"/>
        <w:textAlignment w:val="baseline"/>
        <w:rPr>
          <w:rFonts w:ascii="Arial" w:hAnsi="Arial" w:eastAsia="Times New Roman" w:cs="Arial"/>
          <w:i/>
          <w:i/>
          <w:iCs/>
          <w:color w:val="auto"/>
          <w:szCs w:val="22"/>
          <w:lang w:eastAsia="it-IT"/>
        </w:rPr>
      </w:pPr>
      <w:r>
        <w:rPr>
          <w:rFonts w:eastAsia="Times New Roman" w:cs="Arial" w:ascii="Arial" w:hAnsi="Arial"/>
          <w:i/>
          <w:iCs/>
          <w:color w:val="auto"/>
          <w:szCs w:val="22"/>
          <w:lang w:eastAsia="it-IT"/>
        </w:rPr>
      </w:r>
    </w:p>
    <w:p>
      <w:pPr>
        <w:pStyle w:val="Normal"/>
        <w:widowControl w:val="false"/>
        <w:tabs>
          <w:tab w:val="left" w:pos="708" w:leader="none"/>
          <w:tab w:val="center" w:pos="4819" w:leader="none"/>
          <w:tab w:val="right" w:pos="9638" w:leader="none"/>
        </w:tabs>
        <w:overflowPunct w:val="true"/>
        <w:spacing w:lineRule="auto" w:line="240" w:before="240" w:after="120"/>
        <w:textAlignment w:val="baseline"/>
        <w:rPr>
          <w:rFonts w:ascii="Arial" w:hAnsi="Arial" w:eastAsia="Times New Roman" w:cs="Arial"/>
          <w:i/>
          <w:i/>
          <w:iCs/>
          <w:color w:val="auto"/>
          <w:szCs w:val="22"/>
          <w:lang w:eastAsia="it-IT"/>
        </w:rPr>
      </w:pPr>
      <w:r>
        <w:rPr>
          <w:rFonts w:eastAsia="Times New Roman" w:cs="Arial" w:ascii="Arial" w:hAnsi="Arial"/>
          <w:i/>
          <w:iCs/>
          <w:color w:val="auto"/>
          <w:szCs w:val="22"/>
          <w:lang w:eastAsia="it-IT"/>
        </w:rPr>
      </w:r>
    </w:p>
    <w:p>
      <w:pPr>
        <w:pStyle w:val="Normal"/>
        <w:widowControl w:val="false"/>
        <w:overflowPunct w:val="true"/>
        <w:spacing w:lineRule="auto" w:line="240" w:before="0" w:after="0"/>
        <w:rPr>
          <w:rFonts w:ascii="Arial" w:hAnsi="Arial" w:eastAsia="Times New Roman" w:cs="Arial"/>
          <w:iCs/>
          <w:color w:val="auto"/>
          <w:szCs w:val="22"/>
          <w:lang w:eastAsia="it-IT"/>
        </w:rPr>
      </w:pPr>
      <w:r>
        <w:rPr>
          <w:rFonts w:eastAsia="Times New Roman" w:cs="Arial" w:ascii="Arial" w:hAnsi="Arial"/>
          <w:iCs/>
          <w:color w:val="auto"/>
          <w:szCs w:val="22"/>
          <w:lang w:eastAsia="it-IT"/>
        </w:rPr>
      </w:r>
    </w:p>
    <w:p>
      <w:pPr>
        <w:pStyle w:val="Titolo1"/>
        <w:numPr>
          <w:ilvl w:val="0"/>
          <w:numId w:val="103"/>
        </w:numPr>
        <w:spacing w:before="0" w:after="360"/>
        <w:ind w:left="425" w:hanging="425"/>
        <w:rPr/>
      </w:pPr>
      <w:bookmarkStart w:id="105" w:name="_Toc192667004"/>
      <w:r>
        <w:rPr/>
        <w:t>Conclusioni</w:t>
      </w:r>
      <w:bookmarkEnd w:id="105"/>
      <w:r>
        <w:rPr/>
        <w:t xml:space="preserve"> </w:t>
      </w:r>
    </w:p>
    <w:p>
      <w:pPr>
        <w:pStyle w:val="Normal"/>
        <w:widowControl w:val="false"/>
        <w:overflowPunct w:val="true"/>
        <w:spacing w:lineRule="auto" w:line="240" w:before="0" w:after="120"/>
        <w:textAlignment w:val="baseline"/>
        <w:rPr>
          <w:rFonts w:ascii="Arial" w:hAnsi="Arial" w:eastAsia="Times New Roman" w:cs="Arial"/>
          <w:bCs/>
          <w:color w:val="auto"/>
          <w:szCs w:val="22"/>
          <w:lang w:eastAsia="it-IT"/>
        </w:rPr>
      </w:pPr>
      <w:r>
        <w:rPr>
          <w:rFonts w:eastAsia="Times New Roman" w:cs="Arial" w:ascii="Arial" w:hAnsi="Arial"/>
          <w:bCs/>
          <w:iCs/>
          <w:color w:val="auto"/>
          <w:szCs w:val="22"/>
          <w:lang w:eastAsia="it-IT"/>
        </w:rPr>
        <w:t>Si invita l’Ente ad un monitoraggio attento alle entrate, anche della parte coattiva, al fine di raggiungere l’obiettivo della riduzione del fcde, in particolar modo per ciò che attiene le entrate relative alle sanzioni cds, fitti attivi immobili sap e lotta all’evasione IMU.</w:t>
      </w:r>
    </w:p>
    <w:p>
      <w:pPr>
        <w:pStyle w:val="Normal"/>
        <w:widowControl w:val="false"/>
        <w:overflowPunct w:val="true"/>
        <w:spacing w:lineRule="auto" w:line="240" w:before="0" w:after="120"/>
        <w:textAlignment w:val="baseline"/>
        <w:rPr>
          <w:rFonts w:ascii="Arial" w:hAnsi="Arial" w:eastAsia="Times New Roman" w:cs="Arial"/>
          <w:bCs/>
          <w:color w:val="auto"/>
          <w:szCs w:val="22"/>
          <w:lang w:eastAsia="it-IT"/>
        </w:rPr>
      </w:pPr>
      <w:r>
        <w:rPr>
          <w:rFonts w:eastAsia="Times New Roman" w:cs="Arial" w:ascii="Arial" w:hAnsi="Arial"/>
          <w:bCs/>
          <w:color w:val="auto"/>
          <w:szCs w:val="22"/>
          <w:lang w:eastAsia="it-IT"/>
        </w:rPr>
        <w:t xml:space="preserve">Tenuto conto di tutto quanto esposto, rilevato e proposto si attesta la corrispondenza del rendiconto alle risultanze della gestione e </w:t>
      </w:r>
      <w:r>
        <w:rPr>
          <w:rFonts w:eastAsia="Times New Roman" w:cs="Arial" w:ascii="Arial" w:hAnsi="Arial"/>
          <w:b/>
          <w:bCs/>
          <w:color w:val="auto"/>
          <w:szCs w:val="22"/>
          <w:lang w:eastAsia="it-IT"/>
        </w:rPr>
        <w:t>si esprime giudizio positivo</w:t>
      </w:r>
      <w:r>
        <w:rPr>
          <w:rFonts w:eastAsia="Times New Roman" w:cs="Arial" w:ascii="Arial" w:hAnsi="Arial"/>
          <w:bCs/>
          <w:color w:val="auto"/>
          <w:szCs w:val="22"/>
          <w:lang w:eastAsia="it-IT"/>
        </w:rPr>
        <w:t xml:space="preserve"> per l’approvazione del rendiconto dell’esercizio finanziario 2024</w:t>
      </w:r>
    </w:p>
    <w:p>
      <w:pPr>
        <w:pStyle w:val="Normal"/>
        <w:widowControl w:val="false"/>
        <w:overflowPunct w:val="true"/>
        <w:spacing w:lineRule="auto" w:line="240" w:before="0" w:after="120"/>
        <w:textAlignment w:val="baseline"/>
        <w:rPr>
          <w:rFonts w:ascii="Arial" w:hAnsi="Arial" w:eastAsia="Times New Roman" w:cs="Arial"/>
          <w:i/>
          <w:i/>
          <w:iCs/>
          <w:color w:val="auto"/>
          <w:szCs w:val="22"/>
          <w:lang w:eastAsia="it-IT"/>
        </w:rPr>
      </w:pPr>
      <w:r>
        <w:rPr>
          <w:rFonts w:eastAsia="Times New Roman" w:cs="Arial" w:ascii="Arial" w:hAnsi="Arial"/>
          <w:i/>
          <w:iCs/>
          <w:color w:val="auto"/>
          <w:szCs w:val="22"/>
          <w:lang w:eastAsia="it-IT"/>
        </w:rPr>
      </w:r>
    </w:p>
    <w:p>
      <w:pPr>
        <w:pStyle w:val="Normal"/>
        <w:widowControl w:val="false"/>
        <w:overflowPunct w:val="true"/>
        <w:spacing w:lineRule="auto" w:line="240" w:before="0" w:after="120"/>
        <w:textAlignment w:val="baseline"/>
        <w:rPr>
          <w:rFonts w:ascii="Arial" w:hAnsi="Arial" w:eastAsia="Times New Roman" w:cs="Arial"/>
          <w:i/>
          <w:i/>
          <w:iCs/>
          <w:color w:val="auto"/>
          <w:szCs w:val="22"/>
          <w:lang w:eastAsia="it-IT"/>
        </w:rPr>
      </w:pPr>
      <w:r>
        <w:rPr>
          <w:rFonts w:eastAsia="Times New Roman" w:cs="Arial" w:ascii="Arial" w:hAnsi="Arial"/>
          <w:i/>
          <w:iCs/>
          <w:color w:val="auto"/>
          <w:szCs w:val="22"/>
          <w:lang w:eastAsia="it-IT"/>
        </w:rPr>
      </w:r>
    </w:p>
    <w:p>
      <w:pPr>
        <w:pStyle w:val="Normal"/>
        <w:widowControl w:val="false"/>
        <w:overflowPunct w:val="true"/>
        <w:spacing w:lineRule="auto" w:line="240" w:before="0" w:after="240"/>
        <w:ind w:left="2160" w:firstLine="720"/>
        <w:jc w:val="right"/>
        <w:rPr>
          <w:b/>
          <w:b/>
          <w:bCs/>
        </w:rPr>
      </w:pPr>
      <w:r>
        <w:rPr>
          <w:rFonts w:eastAsia="Times New Roman" w:cs="Arial" w:ascii="Arial" w:hAnsi="Arial"/>
          <w:b/>
          <w:bCs/>
          <w:smallCaps/>
          <w:color w:val="auto"/>
          <w:sz w:val="24"/>
          <w:szCs w:val="20"/>
          <w:lang w:eastAsia="it-IT"/>
        </w:rPr>
        <w:t>L’ORGANO DI REVISIONE</w:t>
      </w:r>
    </w:p>
    <w:p>
      <w:pPr>
        <w:pStyle w:val="Normal"/>
        <w:widowControl w:val="false"/>
        <w:overflowPunct w:val="true"/>
        <w:spacing w:lineRule="auto" w:line="240" w:before="0" w:after="240"/>
        <w:ind w:left="2880" w:hanging="0"/>
        <w:jc w:val="right"/>
        <w:rPr/>
      </w:pPr>
      <w:r>
        <w:rPr>
          <w:rFonts w:eastAsia="Times New Roman" w:cs="Arial" w:ascii="Arial" w:hAnsi="Arial"/>
          <w:smallCaps/>
          <w:color w:val="auto"/>
          <w:sz w:val="24"/>
          <w:szCs w:val="20"/>
          <w:lang w:eastAsia="it-IT"/>
        </w:rPr>
        <w:t xml:space="preserve">    </w:t>
      </w:r>
      <w:r>
        <w:rPr>
          <w:rFonts w:eastAsia="Times New Roman" w:cs="Arial" w:ascii="Arial" w:hAnsi="Arial"/>
          <w:smallCaps/>
          <w:color w:val="auto"/>
          <w:sz w:val="24"/>
          <w:szCs w:val="20"/>
          <w:lang w:eastAsia="it-IT"/>
        </w:rPr>
        <w:t>Dott. Riccardo Luigi Tofani</w:t>
      </w:r>
    </w:p>
    <w:p>
      <w:pPr>
        <w:pStyle w:val="Normal"/>
        <w:widowControl w:val="false"/>
        <w:overflowPunct w:val="true"/>
        <w:spacing w:lineRule="auto" w:line="240" w:before="0" w:after="240"/>
        <w:ind w:left="2880" w:hanging="0"/>
        <w:jc w:val="right"/>
        <w:rPr/>
      </w:pPr>
      <w:r>
        <w:rPr>
          <w:rFonts w:eastAsia="Times New Roman" w:cs="Arial" w:ascii="Arial" w:hAnsi="Arial"/>
          <w:smallCaps/>
          <w:color w:val="auto"/>
          <w:sz w:val="24"/>
          <w:szCs w:val="20"/>
          <w:lang w:eastAsia="it-IT"/>
        </w:rPr>
        <w:t xml:space="preserve">    </w:t>
      </w:r>
      <w:r>
        <w:rPr>
          <w:rFonts w:eastAsia="Times New Roman" w:cs="Arial" w:ascii="Arial" w:hAnsi="Arial"/>
          <w:smallCaps/>
          <w:color w:val="auto"/>
          <w:sz w:val="24"/>
          <w:szCs w:val="20"/>
          <w:lang w:eastAsia="it-IT"/>
        </w:rPr>
        <w:t>Dott. Tullio Paderno</w:t>
      </w:r>
    </w:p>
    <w:p>
      <w:pPr>
        <w:pStyle w:val="Normal"/>
        <w:widowControl w:val="false"/>
        <w:overflowPunct w:val="true"/>
        <w:spacing w:lineRule="auto" w:line="240" w:before="0" w:after="240"/>
        <w:ind w:left="2880" w:hanging="0"/>
        <w:jc w:val="right"/>
        <w:rPr/>
      </w:pPr>
      <w:r>
        <w:rPr>
          <w:rFonts w:eastAsia="Times New Roman" w:cs="Arial" w:ascii="Arial" w:hAnsi="Arial"/>
          <w:smallCaps/>
          <w:color w:val="auto"/>
          <w:position w:val="-1"/>
          <w:sz w:val="24"/>
          <w:szCs w:val="20"/>
          <w:lang w:eastAsia="it-IT"/>
        </w:rPr>
        <w:t xml:space="preserve">    </w:t>
      </w:r>
      <w:r>
        <w:rPr>
          <w:rFonts w:eastAsia="Times New Roman" w:cs="Arial" w:ascii="Arial" w:hAnsi="Arial"/>
          <w:smallCaps/>
          <w:color w:val="auto"/>
          <w:position w:val="-1"/>
          <w:sz w:val="24"/>
          <w:szCs w:val="20"/>
          <w:lang w:eastAsia="it-IT"/>
        </w:rPr>
        <w:t>Dott.ssa Maria Assunta Colombo</w:t>
      </w:r>
    </w:p>
    <w:p>
      <w:pPr>
        <w:pStyle w:val="Normal"/>
        <w:widowControl w:val="false"/>
        <w:overflowPunct w:val="true"/>
        <w:spacing w:lineRule="auto" w:line="240" w:before="0" w:after="240"/>
        <w:ind w:left="4956" w:firstLine="7"/>
        <w:jc w:val="center"/>
        <w:textAlignment w:val="baseline"/>
        <w:rPr>
          <w:rFonts w:cs="Calibri" w:cstheme="minorHAnsi"/>
          <w:color w:val="auto"/>
          <w:szCs w:val="22"/>
        </w:rPr>
      </w:pPr>
      <w:r>
        <w:rPr>
          <w:rFonts w:cs="Calibri" w:cstheme="minorHAnsi"/>
          <w:color w:val="auto"/>
          <w:szCs w:val="22"/>
        </w:rPr>
      </w:r>
    </w:p>
    <w:p>
      <w:pPr>
        <w:pStyle w:val="Normal"/>
        <w:widowControl w:val="false"/>
        <w:overflowPunct w:val="true"/>
        <w:spacing w:lineRule="auto" w:line="240" w:before="0" w:after="240"/>
        <w:ind w:left="4956" w:firstLine="7"/>
        <w:jc w:val="center"/>
        <w:textAlignment w:val="baseline"/>
        <w:rPr>
          <w:rFonts w:cs="Calibri" w:cstheme="minorHAnsi"/>
          <w:color w:val="auto"/>
          <w:szCs w:val="22"/>
        </w:rPr>
      </w:pPr>
      <w:r>
        <w:rPr>
          <w:rFonts w:cs="Calibri" w:cstheme="minorHAnsi"/>
          <w:color w:val="auto"/>
          <w:szCs w:val="22"/>
        </w:rPr>
      </w:r>
    </w:p>
    <w:p>
      <w:pPr>
        <w:pStyle w:val="Normal"/>
        <w:widowControl w:val="false"/>
        <w:overflowPunct w:val="true"/>
        <w:spacing w:lineRule="auto" w:line="240" w:before="0" w:after="240"/>
        <w:ind w:left="4956" w:firstLine="7"/>
        <w:jc w:val="left"/>
        <w:textAlignment w:val="baseline"/>
        <w:rPr/>
      </w:pPr>
      <w:r>
        <w:rPr/>
      </w:r>
    </w:p>
    <w:sectPr>
      <w:headerReference w:type="default" r:id="rId24"/>
      <w:footerReference w:type="default" r:id="rId25"/>
      <w:type w:val="nextPage"/>
      <w:pgSz w:w="11906" w:h="16838"/>
      <w:pgMar w:left="1418" w:right="1418" w:gutter="0" w:header="709" w:top="1985" w:footer="485" w:bottom="1418"/>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Tahoma">
    <w:charset w:val="00"/>
    <w:family w:val="roman"/>
    <w:pitch w:val="variable"/>
  </w:font>
  <w:font w:name="Arial">
    <w:charset w:val="00"/>
    <w:family w:val="roman"/>
    <w:pitch w:val="variable"/>
  </w:font>
  <w:font w:name="Courier New">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ItcCenturyLight">
    <w:charset w:val="00"/>
    <w:family w:val="roman"/>
    <w:pitch w:val="variable"/>
  </w:font>
  <w:font w:name="UniversExBlkExt">
    <w:charset w:val="00"/>
    <w:family w:val="roman"/>
    <w:pitch w:val="variable"/>
  </w:font>
  <w:font w:name="Cambria">
    <w:charset w:val="00"/>
    <w:family w:val="roman"/>
    <w:pitch w:val="variable"/>
  </w:font>
  <w:font w:name="Futura">
    <w:charset w:val="00"/>
    <w:family w:val="roman"/>
    <w:pitch w:val="variable"/>
  </w:font>
  <w:font w:name="Thorndale AMT">
    <w:altName w:val="Times New Roman"/>
    <w:charset w:val="00"/>
    <w:family w:val="roman"/>
    <w:pitch w:val="variable"/>
  </w:font>
  <w:font w:name="Book Antiqua">
    <w:charset w:val="00"/>
    <w:family w:val="roman"/>
    <w:pitch w:val="variable"/>
  </w:font>
  <w:font w:name="Verdana">
    <w:charset w:val="00"/>
    <w:family w:val="roman"/>
    <w:pitch w:val="variable"/>
  </w:font>
  <w:font w:name="Aptos">
    <w:charset w:val="00"/>
    <w:family w:val="roman"/>
    <w:pitch w:val="variable"/>
  </w:font>
  <w:font w:name="arial">
    <w:altName w:val="helvetica"/>
    <w:charset w:val="00"/>
    <w:family w:val="roman"/>
    <w:pitch w:val="variable"/>
  </w:font>
  <w:font w:name="ArialMT">
    <w:charset w:val="00"/>
    <w:family w:val="roman"/>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 w:name="Arial">
    <w:charset w:val="01"/>
    <w:family w:val="swiss"/>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rPr/>
    </w:pPr>
    <w:r>
      <w:rPr/>
      <w:fldChar w:fldCharType="begin"/>
    </w:r>
    <w:r>
      <w:rPr/>
      <w:instrText xml:space="preserve"> PAGE </w:instrText>
    </w:r>
    <w:r>
      <w:rPr/>
      <w:fldChar w:fldCharType="separate"/>
    </w:r>
    <w:r>
      <w:rPr/>
      <w:t>II</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rPr/>
    </w:pPr>
    <w:r>
      <w:rPr/>
      <w:fldChar w:fldCharType="begin"/>
    </w:r>
    <w:r>
      <w:rPr/>
      <w:instrText xml:space="preserve"> PAGE </w:instrText>
    </w:r>
    <w:r>
      <w:rPr/>
      <w:fldChar w:fldCharType="separate"/>
    </w:r>
    <w:r>
      <w:rPr/>
      <w:t>48</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Intestazion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ipoDocumento"/>
      <w:spacing w:before="0" w:after="0"/>
      <w:ind w:right="848" w:hanging="0"/>
      <w:rPr>
        <w:sz w:val="16"/>
        <w:szCs w:val="17"/>
      </w:rPr>
    </w:pPr>
    <w:r>
      <w:rPr>
        <w:sz w:val="16"/>
        <w:szCs w:val="17"/>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ipoDocumento"/>
      <w:spacing w:before="0" w:after="0"/>
      <w:ind w:right="848" w:hanging="0"/>
      <w:rPr>
        <w:sz w:val="16"/>
        <w:szCs w:val="17"/>
      </w:rPr>
    </w:pPr>
    <w:r>
      <w:rPr>
        <w:sz w:val="16"/>
        <w:szCs w:val="17"/>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lvl w:ilvl="0">
      <w:start w:val="1"/>
      <w:numFmt w:val="bullet"/>
      <w:lvlText w:val=""/>
      <w:lvlJc w:val="left"/>
      <w:pPr>
        <w:tabs>
          <w:tab w:val="num" w:pos="0"/>
        </w:tabs>
        <w:ind w:left="283" w:hanging="283"/>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lowerLetter"/>
      <w:lvlText w:val="%1)"/>
      <w:lvlJc w:val="left"/>
      <w:pPr>
        <w:tabs>
          <w:tab w:val="num" w:pos="0"/>
        </w:tabs>
        <w:ind w:left="567" w:hanging="283"/>
      </w:pPr>
      <w:rPr/>
    </w:lvl>
    <w:lvl w:ilvl="1">
      <w:start w:val="1"/>
      <w:numFmt w:val="decimal"/>
      <w:lvlText w:val="%2)"/>
      <w:lvlJc w:val="left"/>
      <w:pPr>
        <w:tabs>
          <w:tab w:val="num" w:pos="0"/>
        </w:tabs>
        <w:ind w:left="1440" w:hanging="360"/>
      </w:pPr>
      <w:rPr>
        <w:b/>
      </w:rPr>
    </w:lvl>
    <w:lvl w:ilvl="2">
      <w:start w:val="1"/>
      <w:numFmt w:val="lowerRoman"/>
      <w:lvlText w:val="%3."/>
      <w:lvlJc w:val="right"/>
      <w:pPr>
        <w:tabs>
          <w:tab w:val="num" w:pos="2160"/>
        </w:tabs>
        <w:ind w:left="2160" w:hanging="180"/>
      </w:pPr>
      <w:rPr/>
    </w:lvl>
    <w:lvl w:ilvl="3">
      <w:start w:val="1"/>
      <w:numFmt w:val="decimal"/>
      <w:lvlText w:val="%4"/>
      <w:lvlJc w:val="left"/>
      <w:pPr>
        <w:tabs>
          <w:tab w:val="num" w:pos="0"/>
        </w:tabs>
        <w:ind w:left="2880" w:hanging="360"/>
      </w:pPr>
      <w:rPr>
        <w:b/>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6">
    <w:lvl w:ilvl="0">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80" w:hanging="360"/>
      </w:pPr>
      <w:rPr>
        <w:rFonts w:ascii="Times New Roman" w:hAnsi="Times New Roman" w:cs="Times New Roman"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10">
    <w:lvl w:ilvl="0">
      <w:start w:val="1"/>
      <w:numFmt w:val="bullet"/>
      <w:lvlText w:val=""/>
      <w:lvlJc w:val="left"/>
      <w:pPr>
        <w:tabs>
          <w:tab w:val="num" w:pos="0"/>
        </w:tabs>
        <w:ind w:left="0" w:hanging="0"/>
      </w:pPr>
      <w:rPr>
        <w:rFonts w:ascii="Symbol" w:hAnsi="Symbol" w:cs="Symbol" w:hint="default"/>
        <w:color w:val="auto"/>
      </w:rPr>
    </w:lvl>
    <w:lvl w:ilvl="1">
      <w:start w:val="1"/>
      <w:numFmt w:val="bullet"/>
      <w:lvlText w:val="o"/>
      <w:lvlJc w:val="left"/>
      <w:pPr>
        <w:tabs>
          <w:tab w:val="num" w:pos="0"/>
        </w:tabs>
        <w:ind w:left="1723" w:hanging="360"/>
      </w:pPr>
      <w:rPr>
        <w:rFonts w:ascii="Courier New" w:hAnsi="Courier New" w:cs="Courier New" w:hint="default"/>
      </w:rPr>
    </w:lvl>
    <w:lvl w:ilvl="2">
      <w:start w:val="1"/>
      <w:numFmt w:val="bullet"/>
      <w:lvlText w:val=""/>
      <w:lvlJc w:val="left"/>
      <w:pPr>
        <w:tabs>
          <w:tab w:val="num" w:pos="0"/>
        </w:tabs>
        <w:ind w:left="2443" w:hanging="360"/>
      </w:pPr>
      <w:rPr>
        <w:rFonts w:ascii="Wingdings" w:hAnsi="Wingdings" w:cs="Wingdings" w:hint="default"/>
      </w:rPr>
    </w:lvl>
    <w:lvl w:ilvl="3">
      <w:start w:val="1"/>
      <w:numFmt w:val="bullet"/>
      <w:lvlText w:val=""/>
      <w:lvlJc w:val="left"/>
      <w:pPr>
        <w:tabs>
          <w:tab w:val="num" w:pos="0"/>
        </w:tabs>
        <w:ind w:left="3163" w:hanging="360"/>
      </w:pPr>
      <w:rPr>
        <w:rFonts w:ascii="Symbol" w:hAnsi="Symbol" w:cs="Symbol" w:hint="default"/>
      </w:rPr>
    </w:lvl>
    <w:lvl w:ilvl="4">
      <w:start w:val="1"/>
      <w:numFmt w:val="bullet"/>
      <w:lvlText w:val="o"/>
      <w:lvlJc w:val="left"/>
      <w:pPr>
        <w:tabs>
          <w:tab w:val="num" w:pos="0"/>
        </w:tabs>
        <w:ind w:left="3883" w:hanging="360"/>
      </w:pPr>
      <w:rPr>
        <w:rFonts w:ascii="Courier New" w:hAnsi="Courier New" w:cs="Courier New" w:hint="default"/>
      </w:rPr>
    </w:lvl>
    <w:lvl w:ilvl="5">
      <w:start w:val="1"/>
      <w:numFmt w:val="bullet"/>
      <w:lvlText w:val=""/>
      <w:lvlJc w:val="left"/>
      <w:pPr>
        <w:tabs>
          <w:tab w:val="num" w:pos="0"/>
        </w:tabs>
        <w:ind w:left="4603" w:hanging="360"/>
      </w:pPr>
      <w:rPr>
        <w:rFonts w:ascii="Wingdings" w:hAnsi="Wingdings" w:cs="Wingdings" w:hint="default"/>
      </w:rPr>
    </w:lvl>
    <w:lvl w:ilvl="6">
      <w:start w:val="1"/>
      <w:numFmt w:val="bullet"/>
      <w:lvlText w:val=""/>
      <w:lvlJc w:val="left"/>
      <w:pPr>
        <w:tabs>
          <w:tab w:val="num" w:pos="0"/>
        </w:tabs>
        <w:ind w:left="5323" w:hanging="360"/>
      </w:pPr>
      <w:rPr>
        <w:rFonts w:ascii="Symbol" w:hAnsi="Symbol" w:cs="Symbol" w:hint="default"/>
      </w:rPr>
    </w:lvl>
    <w:lvl w:ilvl="7">
      <w:start w:val="1"/>
      <w:numFmt w:val="bullet"/>
      <w:lvlText w:val="o"/>
      <w:lvlJc w:val="left"/>
      <w:pPr>
        <w:tabs>
          <w:tab w:val="num" w:pos="0"/>
        </w:tabs>
        <w:ind w:left="6043" w:hanging="360"/>
      </w:pPr>
      <w:rPr>
        <w:rFonts w:ascii="Courier New" w:hAnsi="Courier New" w:cs="Courier New" w:hint="default"/>
      </w:rPr>
    </w:lvl>
    <w:lvl w:ilvl="8">
      <w:start w:val="1"/>
      <w:numFmt w:val="bullet"/>
      <w:lvlText w:val=""/>
      <w:lvlJc w:val="left"/>
      <w:pPr>
        <w:tabs>
          <w:tab w:val="num" w:pos="0"/>
        </w:tabs>
        <w:ind w:left="6763"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722"/>
        </w:tabs>
        <w:ind w:left="722" w:hanging="360"/>
      </w:pPr>
      <w:rPr>
        <w:rFonts w:ascii="Symbol" w:hAnsi="Symbol" w:cs="Symbol" w:hint="default"/>
      </w:rPr>
    </w:lvl>
    <w:lvl w:ilvl="1">
      <w:start w:val="1"/>
      <w:numFmt w:val="bullet"/>
      <w:lvlText w:val="◦"/>
      <w:lvlJc w:val="left"/>
      <w:pPr>
        <w:tabs>
          <w:tab w:val="num" w:pos="1082"/>
        </w:tabs>
        <w:ind w:left="1082" w:hanging="360"/>
      </w:pPr>
      <w:rPr>
        <w:rFonts w:ascii="OpenSymbol" w:hAnsi="OpenSymbol" w:cs="OpenSymbol" w:hint="default"/>
      </w:rPr>
    </w:lvl>
    <w:lvl w:ilvl="2">
      <w:start w:val="1"/>
      <w:numFmt w:val="bullet"/>
      <w:lvlText w:val="▪"/>
      <w:lvlJc w:val="left"/>
      <w:pPr>
        <w:tabs>
          <w:tab w:val="num" w:pos="1442"/>
        </w:tabs>
        <w:ind w:left="1442" w:hanging="360"/>
      </w:pPr>
      <w:rPr>
        <w:rFonts w:ascii="OpenSymbol" w:hAnsi="OpenSymbol" w:cs="OpenSymbol" w:hint="default"/>
      </w:rPr>
    </w:lvl>
    <w:lvl w:ilvl="3">
      <w:start w:val="1"/>
      <w:numFmt w:val="bullet"/>
      <w:lvlText w:val=""/>
      <w:lvlJc w:val="left"/>
      <w:pPr>
        <w:tabs>
          <w:tab w:val="num" w:pos="1802"/>
        </w:tabs>
        <w:ind w:left="1802" w:hanging="360"/>
      </w:pPr>
      <w:rPr>
        <w:rFonts w:ascii="Symbol" w:hAnsi="Symbol" w:cs="Symbol" w:hint="default"/>
      </w:rPr>
    </w:lvl>
    <w:lvl w:ilvl="4">
      <w:start w:val="1"/>
      <w:numFmt w:val="bullet"/>
      <w:lvlText w:val="◦"/>
      <w:lvlJc w:val="left"/>
      <w:pPr>
        <w:tabs>
          <w:tab w:val="num" w:pos="2162"/>
        </w:tabs>
        <w:ind w:left="2162" w:hanging="360"/>
      </w:pPr>
      <w:rPr>
        <w:rFonts w:ascii="OpenSymbol" w:hAnsi="OpenSymbol" w:cs="OpenSymbol" w:hint="default"/>
      </w:rPr>
    </w:lvl>
    <w:lvl w:ilvl="5">
      <w:start w:val="1"/>
      <w:numFmt w:val="bullet"/>
      <w:lvlText w:val="▪"/>
      <w:lvlJc w:val="left"/>
      <w:pPr>
        <w:tabs>
          <w:tab w:val="num" w:pos="2522"/>
        </w:tabs>
        <w:ind w:left="2522" w:hanging="360"/>
      </w:pPr>
      <w:rPr>
        <w:rFonts w:ascii="OpenSymbol" w:hAnsi="OpenSymbol" w:cs="OpenSymbol" w:hint="default"/>
      </w:rPr>
    </w:lvl>
    <w:lvl w:ilvl="6">
      <w:start w:val="1"/>
      <w:numFmt w:val="bullet"/>
      <w:lvlText w:val=""/>
      <w:lvlJc w:val="left"/>
      <w:pPr>
        <w:tabs>
          <w:tab w:val="num" w:pos="2882"/>
        </w:tabs>
        <w:ind w:left="2882" w:hanging="360"/>
      </w:pPr>
      <w:rPr>
        <w:rFonts w:ascii="Symbol" w:hAnsi="Symbol" w:cs="Symbol" w:hint="default"/>
      </w:rPr>
    </w:lvl>
    <w:lvl w:ilvl="7">
      <w:start w:val="1"/>
      <w:numFmt w:val="bullet"/>
      <w:lvlText w:val="◦"/>
      <w:lvlJc w:val="left"/>
      <w:pPr>
        <w:tabs>
          <w:tab w:val="num" w:pos="3242"/>
        </w:tabs>
        <w:ind w:left="3242" w:hanging="360"/>
      </w:pPr>
      <w:rPr>
        <w:rFonts w:ascii="OpenSymbol" w:hAnsi="OpenSymbol" w:cs="OpenSymbol" w:hint="default"/>
      </w:rPr>
    </w:lvl>
    <w:lvl w:ilvl="8">
      <w:start w:val="1"/>
      <w:numFmt w:val="bullet"/>
      <w:lvlText w:val="▪"/>
      <w:lvlJc w:val="left"/>
      <w:pPr>
        <w:tabs>
          <w:tab w:val="num" w:pos="3602"/>
        </w:tabs>
        <w:ind w:left="3602" w:hanging="360"/>
      </w:pPr>
      <w:rPr>
        <w:rFonts w:ascii="OpenSymbol" w:hAnsi="OpenSymbol" w:cs="OpenSymbol" w:hint="default"/>
      </w:rPr>
    </w:lvl>
  </w:abstractNum>
  <w:abstractNum w:abstractNumId="1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8">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9">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0">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1">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2">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3">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4">
    <w:lvl w:ilvl="0">
      <w:start w:val="1"/>
      <w:numFmt w:val="lowerLetter"/>
      <w:lvlText w:val="%1)"/>
      <w:lvlJc w:val="left"/>
      <w:pPr>
        <w:tabs>
          <w:tab w:val="num" w:pos="709"/>
        </w:tabs>
        <w:ind w:left="720" w:hanging="360"/>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1">
      <w:start w:val="1"/>
      <w:numFmt w:val="lowerLetter"/>
      <w:lvlText w:val="%2."/>
      <w:lvlJc w:val="left"/>
      <w:pPr>
        <w:tabs>
          <w:tab w:val="num" w:pos="1418"/>
        </w:tabs>
        <w:ind w:left="1429" w:hanging="349"/>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2">
      <w:start w:val="1"/>
      <w:numFmt w:val="lowerRoman"/>
      <w:lvlText w:val="%3."/>
      <w:lvlJc w:val="left"/>
      <w:pPr>
        <w:tabs>
          <w:tab w:val="num" w:pos="2127"/>
        </w:tabs>
        <w:ind w:left="2138" w:hanging="269"/>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3">
      <w:start w:val="1"/>
      <w:numFmt w:val="decimal"/>
      <w:lvlText w:val="%4."/>
      <w:lvlJc w:val="left"/>
      <w:pPr>
        <w:tabs>
          <w:tab w:val="num" w:pos="2836"/>
        </w:tabs>
        <w:ind w:left="2847" w:hanging="327"/>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4">
      <w:start w:val="1"/>
      <w:numFmt w:val="lowerLetter"/>
      <w:lvlText w:val="%5."/>
      <w:lvlJc w:val="left"/>
      <w:pPr>
        <w:tabs>
          <w:tab w:val="num" w:pos="3545"/>
        </w:tabs>
        <w:ind w:left="3556" w:hanging="316"/>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5">
      <w:start w:val="1"/>
      <w:numFmt w:val="lowerRoman"/>
      <w:lvlText w:val="%6."/>
      <w:lvlJc w:val="left"/>
      <w:pPr>
        <w:tabs>
          <w:tab w:val="num" w:pos="4254"/>
        </w:tabs>
        <w:ind w:left="4265" w:hanging="236"/>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6">
      <w:start w:val="1"/>
      <w:numFmt w:val="decimal"/>
      <w:lvlText w:val="%7."/>
      <w:lvlJc w:val="left"/>
      <w:pPr>
        <w:tabs>
          <w:tab w:val="num" w:pos="4963"/>
        </w:tabs>
        <w:ind w:left="4974" w:hanging="294"/>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7">
      <w:start w:val="1"/>
      <w:numFmt w:val="lowerLetter"/>
      <w:lvlText w:val="%8."/>
      <w:lvlJc w:val="left"/>
      <w:pPr>
        <w:tabs>
          <w:tab w:val="num" w:pos="5672"/>
        </w:tabs>
        <w:ind w:left="5683" w:hanging="283"/>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8">
      <w:start w:val="1"/>
      <w:numFmt w:val="lowerRoman"/>
      <w:lvlText w:val="%9."/>
      <w:lvlJc w:val="left"/>
      <w:pPr>
        <w:tabs>
          <w:tab w:val="num" w:pos="6381"/>
        </w:tabs>
        <w:ind w:left="6392" w:hanging="203"/>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abstractNum>
  <w:abstractNum w:abstractNumId="25">
    <w:lvl w:ilvl="0">
      <w:start w:val="1"/>
      <w:numFmt w:val="lowerLetter"/>
      <w:lvlText w:val="%1)"/>
      <w:lvlJc w:val="left"/>
      <w:pPr>
        <w:tabs>
          <w:tab w:val="num" w:pos="709"/>
        </w:tabs>
        <w:ind w:left="720" w:hanging="360"/>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1">
      <w:start w:val="1"/>
      <w:numFmt w:val="lowerLetter"/>
      <w:lvlText w:val="%2."/>
      <w:lvlJc w:val="left"/>
      <w:pPr>
        <w:tabs>
          <w:tab w:val="num" w:pos="1418"/>
        </w:tabs>
        <w:ind w:left="1429" w:hanging="349"/>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2">
      <w:start w:val="1"/>
      <w:numFmt w:val="lowerRoman"/>
      <w:lvlText w:val="%3."/>
      <w:lvlJc w:val="left"/>
      <w:pPr>
        <w:tabs>
          <w:tab w:val="num" w:pos="2127"/>
        </w:tabs>
        <w:ind w:left="2138" w:hanging="269"/>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3">
      <w:start w:val="1"/>
      <w:numFmt w:val="decimal"/>
      <w:lvlText w:val="%4."/>
      <w:lvlJc w:val="left"/>
      <w:pPr>
        <w:tabs>
          <w:tab w:val="num" w:pos="2836"/>
        </w:tabs>
        <w:ind w:left="2847" w:hanging="327"/>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4">
      <w:start w:val="1"/>
      <w:numFmt w:val="lowerLetter"/>
      <w:lvlText w:val="%5."/>
      <w:lvlJc w:val="left"/>
      <w:pPr>
        <w:tabs>
          <w:tab w:val="num" w:pos="3545"/>
        </w:tabs>
        <w:ind w:left="3556" w:hanging="316"/>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5">
      <w:start w:val="1"/>
      <w:numFmt w:val="lowerRoman"/>
      <w:lvlText w:val="%6."/>
      <w:lvlJc w:val="left"/>
      <w:pPr>
        <w:tabs>
          <w:tab w:val="num" w:pos="4254"/>
        </w:tabs>
        <w:ind w:left="4265" w:hanging="236"/>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6">
      <w:start w:val="1"/>
      <w:numFmt w:val="decimal"/>
      <w:lvlText w:val="%7."/>
      <w:lvlJc w:val="left"/>
      <w:pPr>
        <w:tabs>
          <w:tab w:val="num" w:pos="4963"/>
        </w:tabs>
        <w:ind w:left="4974" w:hanging="294"/>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7">
      <w:start w:val="1"/>
      <w:numFmt w:val="lowerLetter"/>
      <w:lvlText w:val="%8."/>
      <w:lvlJc w:val="left"/>
      <w:pPr>
        <w:tabs>
          <w:tab w:val="num" w:pos="5672"/>
        </w:tabs>
        <w:ind w:left="5683" w:hanging="283"/>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8">
      <w:start w:val="1"/>
      <w:numFmt w:val="lowerRoman"/>
      <w:lvlText w:val="%9."/>
      <w:lvlJc w:val="left"/>
      <w:pPr>
        <w:tabs>
          <w:tab w:val="num" w:pos="6381"/>
        </w:tabs>
        <w:ind w:left="6392" w:hanging="203"/>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abstractNum>
  <w:abstractNum w:abstractNumId="26">
    <w:lvl w:ilvl="0">
      <w:start w:val="1"/>
      <w:numFmt w:val="lowerLetter"/>
      <w:lvlText w:val="%1)"/>
      <w:lvlJc w:val="left"/>
      <w:pPr>
        <w:tabs>
          <w:tab w:val="num" w:pos="709"/>
        </w:tabs>
        <w:ind w:left="720" w:hanging="360"/>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1">
      <w:start w:val="1"/>
      <w:numFmt w:val="lowerLetter"/>
      <w:lvlText w:val="%2."/>
      <w:lvlJc w:val="left"/>
      <w:pPr>
        <w:tabs>
          <w:tab w:val="num" w:pos="1418"/>
        </w:tabs>
        <w:ind w:left="1429" w:hanging="349"/>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2">
      <w:start w:val="1"/>
      <w:numFmt w:val="lowerRoman"/>
      <w:lvlText w:val="%3."/>
      <w:lvlJc w:val="left"/>
      <w:pPr>
        <w:tabs>
          <w:tab w:val="num" w:pos="2127"/>
        </w:tabs>
        <w:ind w:left="2138" w:hanging="269"/>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3">
      <w:start w:val="1"/>
      <w:numFmt w:val="decimal"/>
      <w:lvlText w:val="%4."/>
      <w:lvlJc w:val="left"/>
      <w:pPr>
        <w:tabs>
          <w:tab w:val="num" w:pos="2836"/>
        </w:tabs>
        <w:ind w:left="2847" w:hanging="327"/>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4">
      <w:start w:val="1"/>
      <w:numFmt w:val="lowerLetter"/>
      <w:lvlText w:val="%5."/>
      <w:lvlJc w:val="left"/>
      <w:pPr>
        <w:tabs>
          <w:tab w:val="num" w:pos="3545"/>
        </w:tabs>
        <w:ind w:left="3556" w:hanging="316"/>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5">
      <w:start w:val="1"/>
      <w:numFmt w:val="lowerRoman"/>
      <w:lvlText w:val="%6."/>
      <w:lvlJc w:val="left"/>
      <w:pPr>
        <w:tabs>
          <w:tab w:val="num" w:pos="4254"/>
        </w:tabs>
        <w:ind w:left="4265" w:hanging="236"/>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6">
      <w:start w:val="1"/>
      <w:numFmt w:val="decimal"/>
      <w:lvlText w:val="%7."/>
      <w:lvlJc w:val="left"/>
      <w:pPr>
        <w:tabs>
          <w:tab w:val="num" w:pos="4963"/>
        </w:tabs>
        <w:ind w:left="4974" w:hanging="294"/>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7">
      <w:start w:val="1"/>
      <w:numFmt w:val="lowerLetter"/>
      <w:lvlText w:val="%8."/>
      <w:lvlJc w:val="left"/>
      <w:pPr>
        <w:tabs>
          <w:tab w:val="num" w:pos="5672"/>
        </w:tabs>
        <w:ind w:left="5683" w:hanging="283"/>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8">
      <w:start w:val="1"/>
      <w:numFmt w:val="lowerRoman"/>
      <w:lvlText w:val="%9."/>
      <w:lvlJc w:val="left"/>
      <w:pPr>
        <w:tabs>
          <w:tab w:val="num" w:pos="6381"/>
        </w:tabs>
        <w:ind w:left="6392" w:hanging="203"/>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abstractNum>
  <w:abstractNum w:abstractNumId="27">
    <w:lvl w:ilvl="0">
      <w:start w:val="1"/>
      <w:numFmt w:val="lowerLetter"/>
      <w:lvlText w:val="%1)"/>
      <w:lvlJc w:val="left"/>
      <w:pPr>
        <w:tabs>
          <w:tab w:val="num" w:pos="709"/>
        </w:tabs>
        <w:ind w:left="720" w:hanging="360"/>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1">
      <w:start w:val="1"/>
      <w:numFmt w:val="lowerLetter"/>
      <w:lvlText w:val="%2."/>
      <w:lvlJc w:val="left"/>
      <w:pPr>
        <w:tabs>
          <w:tab w:val="num" w:pos="1418"/>
        </w:tabs>
        <w:ind w:left="1429" w:hanging="349"/>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2">
      <w:start w:val="1"/>
      <w:numFmt w:val="lowerRoman"/>
      <w:lvlText w:val="%3."/>
      <w:lvlJc w:val="left"/>
      <w:pPr>
        <w:tabs>
          <w:tab w:val="num" w:pos="2127"/>
        </w:tabs>
        <w:ind w:left="2138" w:hanging="269"/>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3">
      <w:start w:val="1"/>
      <w:numFmt w:val="decimal"/>
      <w:lvlText w:val="%4."/>
      <w:lvlJc w:val="left"/>
      <w:pPr>
        <w:tabs>
          <w:tab w:val="num" w:pos="2836"/>
        </w:tabs>
        <w:ind w:left="2847" w:hanging="327"/>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4">
      <w:start w:val="1"/>
      <w:numFmt w:val="lowerLetter"/>
      <w:lvlText w:val="%5."/>
      <w:lvlJc w:val="left"/>
      <w:pPr>
        <w:tabs>
          <w:tab w:val="num" w:pos="3545"/>
        </w:tabs>
        <w:ind w:left="3556" w:hanging="316"/>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5">
      <w:start w:val="1"/>
      <w:numFmt w:val="lowerRoman"/>
      <w:lvlText w:val="%6."/>
      <w:lvlJc w:val="left"/>
      <w:pPr>
        <w:tabs>
          <w:tab w:val="num" w:pos="4254"/>
        </w:tabs>
        <w:ind w:left="4265" w:hanging="236"/>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6">
      <w:start w:val="1"/>
      <w:numFmt w:val="decimal"/>
      <w:lvlText w:val="%7."/>
      <w:lvlJc w:val="left"/>
      <w:pPr>
        <w:tabs>
          <w:tab w:val="num" w:pos="4963"/>
        </w:tabs>
        <w:ind w:left="4974" w:hanging="294"/>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7">
      <w:start w:val="1"/>
      <w:numFmt w:val="lowerLetter"/>
      <w:lvlText w:val="%8."/>
      <w:lvlJc w:val="left"/>
      <w:pPr>
        <w:tabs>
          <w:tab w:val="num" w:pos="5672"/>
        </w:tabs>
        <w:ind w:left="5683" w:hanging="283"/>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8">
      <w:start w:val="1"/>
      <w:numFmt w:val="lowerRoman"/>
      <w:lvlText w:val="%9."/>
      <w:lvlJc w:val="left"/>
      <w:pPr>
        <w:tabs>
          <w:tab w:val="num" w:pos="6381"/>
        </w:tabs>
        <w:ind w:left="6392" w:hanging="203"/>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abstractNum>
  <w:abstractNum w:abstractNumId="28">
    <w:lvl w:ilvl="0">
      <w:start w:val="1"/>
      <w:numFmt w:val="lowerLetter"/>
      <w:lvlText w:val="%1)"/>
      <w:lvlJc w:val="left"/>
      <w:pPr>
        <w:tabs>
          <w:tab w:val="num" w:pos="709"/>
        </w:tabs>
        <w:ind w:left="720" w:hanging="360"/>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1">
      <w:start w:val="1"/>
      <w:numFmt w:val="lowerLetter"/>
      <w:lvlText w:val="%2."/>
      <w:lvlJc w:val="left"/>
      <w:pPr>
        <w:tabs>
          <w:tab w:val="num" w:pos="1418"/>
        </w:tabs>
        <w:ind w:left="1429" w:hanging="349"/>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2">
      <w:start w:val="1"/>
      <w:numFmt w:val="lowerRoman"/>
      <w:lvlText w:val="%3."/>
      <w:lvlJc w:val="left"/>
      <w:pPr>
        <w:tabs>
          <w:tab w:val="num" w:pos="2127"/>
        </w:tabs>
        <w:ind w:left="2138" w:hanging="269"/>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3">
      <w:start w:val="1"/>
      <w:numFmt w:val="decimal"/>
      <w:lvlText w:val="%4."/>
      <w:lvlJc w:val="left"/>
      <w:pPr>
        <w:tabs>
          <w:tab w:val="num" w:pos="2836"/>
        </w:tabs>
        <w:ind w:left="2847" w:hanging="327"/>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4">
      <w:start w:val="1"/>
      <w:numFmt w:val="lowerLetter"/>
      <w:lvlText w:val="%5."/>
      <w:lvlJc w:val="left"/>
      <w:pPr>
        <w:tabs>
          <w:tab w:val="num" w:pos="3545"/>
        </w:tabs>
        <w:ind w:left="3556" w:hanging="316"/>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5">
      <w:start w:val="1"/>
      <w:numFmt w:val="lowerRoman"/>
      <w:lvlText w:val="%6."/>
      <w:lvlJc w:val="left"/>
      <w:pPr>
        <w:tabs>
          <w:tab w:val="num" w:pos="4254"/>
        </w:tabs>
        <w:ind w:left="4265" w:hanging="236"/>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6">
      <w:start w:val="1"/>
      <w:numFmt w:val="decimal"/>
      <w:lvlText w:val="%7."/>
      <w:lvlJc w:val="left"/>
      <w:pPr>
        <w:tabs>
          <w:tab w:val="num" w:pos="4963"/>
        </w:tabs>
        <w:ind w:left="4974" w:hanging="294"/>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7">
      <w:start w:val="1"/>
      <w:numFmt w:val="lowerLetter"/>
      <w:lvlText w:val="%8."/>
      <w:lvlJc w:val="left"/>
      <w:pPr>
        <w:tabs>
          <w:tab w:val="num" w:pos="5672"/>
        </w:tabs>
        <w:ind w:left="5683" w:hanging="283"/>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lvl w:ilvl="8">
      <w:start w:val="1"/>
      <w:numFmt w:val="lowerRoman"/>
      <w:lvlText w:val="%9."/>
      <w:lvlJc w:val="left"/>
      <w:pPr>
        <w:tabs>
          <w:tab w:val="num" w:pos="6381"/>
        </w:tabs>
        <w:ind w:left="6392" w:hanging="203"/>
      </w:pPr>
      <w:rPr>
        <w:smallCaps w:val="false"/>
        <w:caps w:val="false"/>
        <w:outline w:val="false"/>
        <w:dstrike w:val="false"/>
        <w:strike w:val="false"/>
        <w:vertAlign w:val="baseline"/>
        <w:position w:val="0"/>
        <w:sz w:val="21"/>
        <w:sz w:val="21"/>
        <w:spacing w:val="0"/>
        <w:shadow w:val="false"/>
        <w:u w:val="none"/>
        <w:kern w:val="0"/>
        <w:effect w:val="none"/>
        <w:w w:val="100"/>
        <w:emboss w:val="false"/>
        <w:imprint w:val="false"/>
      </w:rPr>
    </w:lvl>
  </w:abstractNum>
  <w:abstractNum w:abstractNumId="29">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0">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1">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2">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3">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4">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5">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6">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7">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8">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9">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0">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1">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2">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3">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4">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5">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6">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8">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9">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0">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1">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2">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3">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4">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5">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6">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7">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8">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9">
    <w:lvl w:ilvl="0">
      <w:start w:val="1"/>
      <w:numFmt w:val="decimal"/>
      <w:lvlText w:val="%1."/>
      <w:lvlJc w:val="left"/>
      <w:pPr>
        <w:tabs>
          <w:tab w:val="num" w:pos="0"/>
        </w:tabs>
        <w:ind w:left="644" w:hanging="360"/>
      </w:pPr>
      <w:rPr>
        <w:sz w:val="28"/>
        <w:szCs w:val="28"/>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17"/>
    <w:lvlOverride w:ilvl="0">
      <w:startOverride w:val="1"/>
    </w:lvlOverride>
  </w:num>
  <w:num w:numId="62">
    <w:abstractNumId w:val="17"/>
  </w:num>
  <w:num w:numId="63">
    <w:abstractNumId w:val="17"/>
  </w:num>
  <w:num w:numId="64">
    <w:abstractNumId w:val="17"/>
  </w:num>
  <w:num w:numId="65">
    <w:abstractNumId w:val="17"/>
  </w:num>
  <w:num w:numId="66">
    <w:abstractNumId w:val="17"/>
  </w:num>
  <w:num w:numId="67">
    <w:abstractNumId w:val="17"/>
  </w:num>
  <w:num w:numId="68">
    <w:abstractNumId w:val="24"/>
    <w:lvlOverride w:ilvl="0">
      <w:startOverride w:val="1"/>
    </w:lvlOverride>
  </w:num>
  <w:num w:numId="69">
    <w:abstractNumId w:val="24"/>
  </w:num>
  <w:num w:numId="70">
    <w:abstractNumId w:val="24"/>
  </w:num>
  <w:num w:numId="71">
    <w:abstractNumId w:val="24"/>
  </w:num>
  <w:num w:numId="72">
    <w:abstractNumId w:val="24"/>
  </w:num>
  <w:num w:numId="73">
    <w:abstractNumId w:val="17"/>
  </w:num>
  <w:num w:numId="74">
    <w:abstractNumId w:val="17"/>
  </w:num>
  <w:num w:numId="75">
    <w:abstractNumId w:val="17"/>
  </w:num>
  <w:num w:numId="76">
    <w:abstractNumId w:val="17"/>
  </w:num>
  <w:num w:numId="77">
    <w:abstractNumId w:val="17"/>
  </w:num>
  <w:num w:numId="78">
    <w:abstractNumId w:val="17"/>
  </w:num>
  <w:num w:numId="79">
    <w:abstractNumId w:val="17"/>
  </w:num>
  <w:num w:numId="80">
    <w:abstractNumId w:val="17"/>
  </w:num>
  <w:num w:numId="81">
    <w:abstractNumId w:val="17"/>
  </w:num>
  <w:num w:numId="82">
    <w:abstractNumId w:val="17"/>
  </w:num>
  <w:num w:numId="83">
    <w:abstractNumId w:val="17"/>
  </w:num>
  <w:num w:numId="84">
    <w:abstractNumId w:val="17"/>
  </w:num>
  <w:num w:numId="85">
    <w:abstractNumId w:val="17"/>
  </w:num>
  <w:num w:numId="86">
    <w:abstractNumId w:val="17"/>
  </w:num>
  <w:num w:numId="87">
    <w:abstractNumId w:val="17"/>
  </w:num>
  <w:num w:numId="88">
    <w:abstractNumId w:val="17"/>
  </w:num>
  <w:num w:numId="89">
    <w:abstractNumId w:val="17"/>
  </w:num>
  <w:num w:numId="90">
    <w:abstractNumId w:val="7"/>
  </w:num>
  <w:num w:numId="91">
    <w:abstractNumId w:val="17"/>
  </w:num>
  <w:num w:numId="92">
    <w:abstractNumId w:val="17"/>
  </w:num>
  <w:num w:numId="93">
    <w:abstractNumId w:val="17"/>
  </w:num>
  <w:num w:numId="94">
    <w:abstractNumId w:val="17"/>
  </w:num>
  <w:num w:numId="95">
    <w:abstractNumId w:val="17"/>
  </w:num>
  <w:num w:numId="96">
    <w:abstractNumId w:val="17"/>
  </w:num>
  <w:num w:numId="97">
    <w:abstractNumId w:val="17"/>
  </w:num>
  <w:num w:numId="98">
    <w:abstractNumId w:val="17"/>
  </w:num>
  <w:num w:numId="99">
    <w:abstractNumId w:val="17"/>
  </w:num>
  <w:num w:numId="100">
    <w:abstractNumId w:val="17"/>
  </w:num>
  <w:num w:numId="101">
    <w:abstractNumId w:val="17"/>
  </w:num>
  <w:num w:numId="102">
    <w:abstractNumId w:val="17"/>
  </w:num>
  <w:num w:numId="103">
    <w:abstractNumId w:val="17"/>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1"/>
        <w:szCs w:val="21"/>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uiPriority="0" w:semiHidden="1" w:unhideWhenUsed="1"/>
    <w:lsdException w:name="index 2" w:uiPriority="0"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67324"/>
    <w:pPr>
      <w:widowControl/>
      <w:suppressAutoHyphens w:val="true"/>
      <w:bidi w:val="0"/>
      <w:spacing w:lineRule="auto" w:line="312" w:before="0" w:after="200"/>
      <w:jc w:val="both"/>
    </w:pPr>
    <w:rPr>
      <w:rFonts w:ascii="Calibri" w:hAnsi="Calibri" w:eastAsia="" w:cs=""/>
      <w:color w:val="404040" w:themeColor="text1" w:themeTint="bf"/>
      <w:kern w:val="0"/>
      <w:sz w:val="22"/>
      <w:szCs w:val="21"/>
      <w:lang w:val="it-IT" w:eastAsia="en-US" w:bidi="ar-SA"/>
    </w:rPr>
  </w:style>
  <w:style w:type="paragraph" w:styleId="Titolo1">
    <w:name w:val="Heading 1"/>
    <w:basedOn w:val="Normal"/>
    <w:next w:val="Normal"/>
    <w:link w:val="Titolo1Carattere"/>
    <w:uiPriority w:val="9"/>
    <w:qFormat/>
    <w:rsid w:val="001c4f70"/>
    <w:pPr>
      <w:keepNext w:val="true"/>
      <w:keepLines/>
      <w:numPr>
        <w:ilvl w:val="0"/>
        <w:numId w:val="1"/>
      </w:numPr>
      <w:pBdr>
        <w:top w:val="single" w:sz="24" w:space="10" w:color="C00000"/>
      </w:pBdr>
      <w:spacing w:lineRule="auto" w:line="264" w:before="600" w:after="360"/>
      <w:outlineLvl w:val="0"/>
    </w:pPr>
    <w:rPr>
      <w:rFonts w:ascii="Calibri" w:hAnsi="Calibri" w:eastAsia="" w:cs="Times New Roman (Titoli CS)" w:eastAsiaTheme="majorEastAsia"/>
      <w:b/>
      <w:color w:val="C00000"/>
      <w:sz w:val="32"/>
      <w:szCs w:val="40"/>
    </w:rPr>
  </w:style>
  <w:style w:type="paragraph" w:styleId="Titolo2">
    <w:name w:val="Heading 2"/>
    <w:basedOn w:val="Normal"/>
    <w:next w:val="Normal"/>
    <w:link w:val="Titolo2Carattere"/>
    <w:uiPriority w:val="9"/>
    <w:unhideWhenUsed/>
    <w:qFormat/>
    <w:rsid w:val="0023670f"/>
    <w:pPr>
      <w:keepNext w:val="true"/>
      <w:keepLines/>
      <w:numPr>
        <w:ilvl w:val="1"/>
        <w:numId w:val="1"/>
      </w:numPr>
      <w:spacing w:lineRule="auto" w:line="264" w:before="720" w:after="240"/>
      <w:outlineLvl w:val="1"/>
    </w:pPr>
    <w:rPr>
      <w:rFonts w:ascii="Calibri" w:hAnsi="Calibri" w:eastAsia="" w:cs="" w:cstheme="majorBidi" w:eastAsiaTheme="majorEastAsia"/>
      <w:b/>
      <w:color w:val="44546A" w:themeColor="text2"/>
      <w:sz w:val="28"/>
      <w:szCs w:val="28"/>
    </w:rPr>
  </w:style>
  <w:style w:type="paragraph" w:styleId="Titolo3">
    <w:name w:val="Heading 3"/>
    <w:basedOn w:val="Normal"/>
    <w:next w:val="Normal"/>
    <w:link w:val="Titolo3Carattere"/>
    <w:uiPriority w:val="9"/>
    <w:unhideWhenUsed/>
    <w:qFormat/>
    <w:rsid w:val="001054d4"/>
    <w:pPr>
      <w:keepNext w:val="true"/>
      <w:keepLines/>
      <w:numPr>
        <w:ilvl w:val="2"/>
        <w:numId w:val="1"/>
      </w:numPr>
      <w:spacing w:before="480" w:after="240"/>
      <w:outlineLvl w:val="2"/>
    </w:pPr>
    <w:rPr>
      <w:rFonts w:ascii="Calibri" w:hAnsi="Calibri" w:eastAsia="" w:cs="" w:cstheme="majorBidi" w:eastAsiaTheme="majorEastAsia"/>
      <w:b/>
      <w:color w:val="44546A" w:themeColor="text2"/>
      <w:sz w:val="24"/>
      <w:szCs w:val="24"/>
    </w:rPr>
  </w:style>
  <w:style w:type="paragraph" w:styleId="Titolo4">
    <w:name w:val="Heading 4"/>
    <w:basedOn w:val="Normal"/>
    <w:next w:val="Normal"/>
    <w:link w:val="Titolo4Carattere"/>
    <w:unhideWhenUsed/>
    <w:qFormat/>
    <w:rsid w:val="00f8628f"/>
    <w:pPr>
      <w:keepNext w:val="true"/>
      <w:keepLines/>
      <w:pBdr>
        <w:top w:val="single" w:sz="36" w:space="12" w:color="C00000"/>
      </w:pBdr>
      <w:spacing w:lineRule="auto" w:line="276" w:before="600" w:after="240"/>
      <w:outlineLvl w:val="3"/>
    </w:pPr>
    <w:rPr>
      <w:rFonts w:ascii="Calibri" w:hAnsi="Calibri" w:eastAsia="" w:cs="" w:cstheme="majorBidi" w:eastAsiaTheme="majorEastAsia"/>
      <w:b/>
      <w:caps/>
      <w:color w:val="C00000"/>
      <w:sz w:val="32"/>
      <w:szCs w:val="22"/>
    </w:rPr>
  </w:style>
  <w:style w:type="paragraph" w:styleId="Titolo5">
    <w:name w:val="Heading 5"/>
    <w:basedOn w:val="Normal"/>
    <w:next w:val="Normal"/>
    <w:link w:val="Titolo5Carattere"/>
    <w:unhideWhenUsed/>
    <w:qFormat/>
    <w:rsid w:val="00281ef7"/>
    <w:pPr>
      <w:keepNext w:val="true"/>
      <w:keepLines/>
      <w:spacing w:before="40" w:after="0"/>
      <w:outlineLvl w:val="4"/>
    </w:pPr>
    <w:rPr>
      <w:rFonts w:ascii="Calibri Light" w:hAnsi="Calibri Light" w:eastAsia="" w:cs="" w:asciiTheme="majorHAnsi" w:cstheme="majorBidi" w:eastAsiaTheme="majorEastAsia" w:hAnsiTheme="majorHAnsi"/>
      <w:i/>
      <w:iCs/>
      <w:color w:val="70AD47" w:themeColor="accent6"/>
      <w:szCs w:val="22"/>
    </w:rPr>
  </w:style>
  <w:style w:type="paragraph" w:styleId="Titolo6">
    <w:name w:val="Heading 6"/>
    <w:basedOn w:val="Normal"/>
    <w:next w:val="Normal"/>
    <w:link w:val="Titolo6Carattere"/>
    <w:unhideWhenUsed/>
    <w:qFormat/>
    <w:rsid w:val="00281ef7"/>
    <w:pPr>
      <w:keepNext w:val="true"/>
      <w:keepLines/>
      <w:spacing w:before="40" w:after="0"/>
      <w:outlineLvl w:val="5"/>
    </w:pPr>
    <w:rPr>
      <w:rFonts w:ascii="Calibri Light" w:hAnsi="Calibri Light" w:eastAsia="" w:cs="" w:asciiTheme="majorHAnsi" w:cstheme="majorBidi" w:eastAsiaTheme="majorEastAsia" w:hAnsiTheme="majorHAnsi"/>
      <w:color w:val="70AD47" w:themeColor="accent6"/>
    </w:rPr>
  </w:style>
  <w:style w:type="paragraph" w:styleId="Titolo7">
    <w:name w:val="Heading 7"/>
    <w:basedOn w:val="Normal"/>
    <w:next w:val="Normal"/>
    <w:link w:val="Titolo7Carattere"/>
    <w:unhideWhenUsed/>
    <w:qFormat/>
    <w:rsid w:val="00281ef7"/>
    <w:pPr>
      <w:keepNext w:val="true"/>
      <w:keepLines/>
      <w:spacing w:before="40" w:after="0"/>
      <w:outlineLvl w:val="6"/>
    </w:pPr>
    <w:rPr>
      <w:rFonts w:ascii="Calibri Light" w:hAnsi="Calibri Light" w:eastAsia="" w:cs="" w:asciiTheme="majorHAnsi" w:cstheme="majorBidi" w:eastAsiaTheme="majorEastAsia" w:hAnsiTheme="majorHAnsi"/>
      <w:b/>
      <w:bCs/>
      <w:color w:val="70AD47" w:themeColor="accent6"/>
    </w:rPr>
  </w:style>
  <w:style w:type="paragraph" w:styleId="Titolo8">
    <w:name w:val="Heading 8"/>
    <w:basedOn w:val="Normal"/>
    <w:next w:val="Normal"/>
    <w:link w:val="Titolo8Carattere"/>
    <w:unhideWhenUsed/>
    <w:qFormat/>
    <w:rsid w:val="00281ef7"/>
    <w:pPr>
      <w:keepNext w:val="true"/>
      <w:keepLines/>
      <w:spacing w:before="40" w:after="0"/>
      <w:outlineLvl w:val="7"/>
    </w:pPr>
    <w:rPr>
      <w:rFonts w:ascii="Calibri Light" w:hAnsi="Calibri Light" w:eastAsia="" w:cs="" w:asciiTheme="majorHAnsi" w:cstheme="majorBidi" w:eastAsiaTheme="majorEastAsia" w:hAnsiTheme="majorHAnsi"/>
      <w:b/>
      <w:bCs/>
      <w:i/>
      <w:iCs/>
      <w:color w:val="70AD47" w:themeColor="accent6"/>
      <w:sz w:val="20"/>
      <w:szCs w:val="20"/>
    </w:rPr>
  </w:style>
  <w:style w:type="paragraph" w:styleId="Titolo9">
    <w:name w:val="Heading 9"/>
    <w:basedOn w:val="Normal"/>
    <w:next w:val="Normal"/>
    <w:link w:val="Titolo9Carattere"/>
    <w:unhideWhenUsed/>
    <w:qFormat/>
    <w:rsid w:val="00281ef7"/>
    <w:pPr>
      <w:keepNext w:val="true"/>
      <w:keepLines/>
      <w:spacing w:before="40" w:after="0"/>
      <w:outlineLvl w:val="8"/>
    </w:pPr>
    <w:rPr>
      <w:rFonts w:ascii="Calibri Light" w:hAnsi="Calibri Light" w:eastAsia="" w:cs="" w:asciiTheme="majorHAnsi" w:cstheme="majorBidi" w:eastAsiaTheme="majorEastAsia" w:hAnsiTheme="majorHAnsi"/>
      <w:i/>
      <w:iCs/>
      <w:color w:val="70AD47" w:themeColor="accent6"/>
      <w:sz w:val="20"/>
      <w:szCs w:val="20"/>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qFormat/>
    <w:rsid w:val="00281ef7"/>
    <w:rPr/>
  </w:style>
  <w:style w:type="character" w:styleId="PidipaginaCarattere" w:customStyle="1">
    <w:name w:val="Piè di pagina Carattere"/>
    <w:basedOn w:val="DefaultParagraphFont"/>
    <w:uiPriority w:val="99"/>
    <w:qFormat/>
    <w:rsid w:val="00281ef7"/>
    <w:rPr/>
  </w:style>
  <w:style w:type="character" w:styleId="Titolo1Carattere" w:customStyle="1">
    <w:name w:val="Titolo 1 Carattere"/>
    <w:basedOn w:val="DefaultParagraphFont"/>
    <w:uiPriority w:val="9"/>
    <w:qFormat/>
    <w:rsid w:val="001c4f70"/>
    <w:rPr>
      <w:rFonts w:ascii="Calibri" w:hAnsi="Calibri" w:eastAsia="" w:cs="Times New Roman (Titoli CS)" w:eastAsiaTheme="majorEastAsia"/>
      <w:b/>
      <w:color w:val="C00000"/>
      <w:sz w:val="32"/>
      <w:szCs w:val="40"/>
    </w:rPr>
  </w:style>
  <w:style w:type="character" w:styleId="Titolo2Carattere" w:customStyle="1">
    <w:name w:val="Titolo 2 Carattere"/>
    <w:basedOn w:val="DefaultParagraphFont"/>
    <w:uiPriority w:val="9"/>
    <w:qFormat/>
    <w:rsid w:val="0023670f"/>
    <w:rPr>
      <w:rFonts w:ascii="Calibri" w:hAnsi="Calibri" w:eastAsia="" w:cs="" w:cstheme="majorBidi" w:eastAsiaTheme="majorEastAsia"/>
      <w:b/>
      <w:color w:val="44546A" w:themeColor="text2"/>
      <w:sz w:val="28"/>
      <w:szCs w:val="28"/>
    </w:rPr>
  </w:style>
  <w:style w:type="character" w:styleId="Titolo3Carattere" w:customStyle="1">
    <w:name w:val="Titolo 3 Carattere"/>
    <w:basedOn w:val="DefaultParagraphFont"/>
    <w:uiPriority w:val="9"/>
    <w:qFormat/>
    <w:rsid w:val="001054d4"/>
    <w:rPr>
      <w:rFonts w:ascii="Calibri" w:hAnsi="Calibri" w:eastAsia="" w:cs="" w:cstheme="majorBidi" w:eastAsiaTheme="majorEastAsia"/>
      <w:b/>
      <w:color w:val="44546A" w:themeColor="text2"/>
      <w:sz w:val="24"/>
      <w:szCs w:val="24"/>
    </w:rPr>
  </w:style>
  <w:style w:type="character" w:styleId="Titolo4Carattere" w:customStyle="1">
    <w:name w:val="Titolo 4 Carattere"/>
    <w:basedOn w:val="DefaultParagraphFont"/>
    <w:qFormat/>
    <w:rsid w:val="00f8628f"/>
    <w:rPr>
      <w:rFonts w:ascii="Calibri" w:hAnsi="Calibri" w:eastAsia="" w:cs="" w:cstheme="majorBidi" w:eastAsiaTheme="majorEastAsia"/>
      <w:b/>
      <w:caps/>
      <w:color w:val="C00000"/>
      <w:sz w:val="32"/>
      <w:szCs w:val="22"/>
    </w:rPr>
  </w:style>
  <w:style w:type="character" w:styleId="Titolo5Carattere" w:customStyle="1">
    <w:name w:val="Titolo 5 Carattere"/>
    <w:basedOn w:val="DefaultParagraphFont"/>
    <w:qFormat/>
    <w:rsid w:val="00281ef7"/>
    <w:rPr>
      <w:rFonts w:ascii="Calibri Light" w:hAnsi="Calibri Light" w:eastAsia="" w:cs="" w:asciiTheme="majorHAnsi" w:cstheme="majorBidi" w:eastAsiaTheme="majorEastAsia" w:hAnsiTheme="majorHAnsi"/>
      <w:i/>
      <w:iCs/>
      <w:color w:val="70AD47" w:themeColor="accent6"/>
      <w:sz w:val="22"/>
      <w:szCs w:val="22"/>
    </w:rPr>
  </w:style>
  <w:style w:type="character" w:styleId="Titolo6Carattere" w:customStyle="1">
    <w:name w:val="Titolo 6 Carattere"/>
    <w:basedOn w:val="DefaultParagraphFont"/>
    <w:qFormat/>
    <w:rsid w:val="00281ef7"/>
    <w:rPr>
      <w:rFonts w:ascii="Calibri Light" w:hAnsi="Calibri Light" w:eastAsia="" w:cs="" w:asciiTheme="majorHAnsi" w:cstheme="majorBidi" w:eastAsiaTheme="majorEastAsia" w:hAnsiTheme="majorHAnsi"/>
      <w:color w:val="70AD47" w:themeColor="accent6"/>
    </w:rPr>
  </w:style>
  <w:style w:type="character" w:styleId="Titolo7Carattere" w:customStyle="1">
    <w:name w:val="Titolo 7 Carattere"/>
    <w:basedOn w:val="DefaultParagraphFont"/>
    <w:qFormat/>
    <w:rsid w:val="00281ef7"/>
    <w:rPr>
      <w:rFonts w:ascii="Calibri Light" w:hAnsi="Calibri Light" w:eastAsia="" w:cs="" w:asciiTheme="majorHAnsi" w:cstheme="majorBidi" w:eastAsiaTheme="majorEastAsia" w:hAnsiTheme="majorHAnsi"/>
      <w:b/>
      <w:bCs/>
      <w:color w:val="70AD47" w:themeColor="accent6"/>
    </w:rPr>
  </w:style>
  <w:style w:type="character" w:styleId="Titolo8Carattere" w:customStyle="1">
    <w:name w:val="Titolo 8 Carattere"/>
    <w:basedOn w:val="DefaultParagraphFont"/>
    <w:qFormat/>
    <w:rsid w:val="00281ef7"/>
    <w:rPr>
      <w:rFonts w:ascii="Calibri Light" w:hAnsi="Calibri Light" w:eastAsia="" w:cs="" w:asciiTheme="majorHAnsi" w:cstheme="majorBidi" w:eastAsiaTheme="majorEastAsia" w:hAnsiTheme="majorHAnsi"/>
      <w:b/>
      <w:bCs/>
      <w:i/>
      <w:iCs/>
      <w:color w:val="70AD47" w:themeColor="accent6"/>
      <w:sz w:val="20"/>
      <w:szCs w:val="20"/>
    </w:rPr>
  </w:style>
  <w:style w:type="character" w:styleId="Titolo9Carattere" w:customStyle="1">
    <w:name w:val="Titolo 9 Carattere"/>
    <w:basedOn w:val="DefaultParagraphFont"/>
    <w:qFormat/>
    <w:rsid w:val="00281ef7"/>
    <w:rPr>
      <w:rFonts w:ascii="Calibri Light" w:hAnsi="Calibri Light" w:eastAsia="" w:cs="" w:asciiTheme="majorHAnsi" w:cstheme="majorBidi" w:eastAsiaTheme="majorEastAsia" w:hAnsiTheme="majorHAnsi"/>
      <w:i/>
      <w:iCs/>
      <w:color w:val="70AD47" w:themeColor="accent6"/>
      <w:sz w:val="20"/>
      <w:szCs w:val="20"/>
    </w:rPr>
  </w:style>
  <w:style w:type="character" w:styleId="TitoloCarattere" w:customStyle="1">
    <w:name w:val="Titolo Carattere"/>
    <w:basedOn w:val="DefaultParagraphFont"/>
    <w:qFormat/>
    <w:rsid w:val="00281ef7"/>
    <w:rPr>
      <w:rFonts w:ascii="Calibri Light" w:hAnsi="Calibri Light" w:eastAsia="" w:cs="" w:asciiTheme="majorHAnsi" w:cstheme="majorBidi" w:eastAsiaTheme="majorEastAsia" w:hAnsiTheme="majorHAnsi"/>
      <w:color w:val="262626" w:themeColor="text1" w:themeTint="d9"/>
      <w:spacing w:val="-15"/>
      <w:sz w:val="96"/>
      <w:szCs w:val="96"/>
    </w:rPr>
  </w:style>
  <w:style w:type="character" w:styleId="SottotitoloCarattere" w:customStyle="1">
    <w:name w:val="Sottotitolo Carattere"/>
    <w:basedOn w:val="DefaultParagraphFont"/>
    <w:uiPriority w:val="11"/>
    <w:qFormat/>
    <w:rsid w:val="00281ef7"/>
    <w:rPr>
      <w:rFonts w:ascii="Calibri Light" w:hAnsi="Calibri Light" w:eastAsia="" w:cs="" w:asciiTheme="majorHAnsi" w:cstheme="majorBidi" w:eastAsiaTheme="majorEastAsia" w:hAnsiTheme="majorHAnsi"/>
      <w:sz w:val="30"/>
      <w:szCs w:val="30"/>
    </w:rPr>
  </w:style>
  <w:style w:type="character" w:styleId="Strong">
    <w:name w:val="Strong"/>
    <w:qFormat/>
    <w:rPr>
      <w:b/>
      <w:bCs/>
    </w:rPr>
  </w:style>
  <w:style w:type="character" w:styleId="Enfasi">
    <w:name w:val="Emphasis"/>
    <w:basedOn w:val="DefaultParagraphFont"/>
    <w:uiPriority w:val="99"/>
    <w:qFormat/>
    <w:rsid w:val="00281ef7"/>
    <w:rPr>
      <w:i/>
      <w:iCs/>
      <w:color w:val="70AD47" w:themeColor="accent6"/>
    </w:rPr>
  </w:style>
  <w:style w:type="character" w:styleId="CitazioneCarattere" w:customStyle="1">
    <w:name w:val="Citazione Carattere"/>
    <w:basedOn w:val="DefaultParagraphFont"/>
    <w:link w:val="Quote"/>
    <w:uiPriority w:val="29"/>
    <w:qFormat/>
    <w:rsid w:val="00281ef7"/>
    <w:rPr>
      <w:i/>
      <w:iCs/>
      <w:color w:val="262626" w:themeColor="text1" w:themeTint="d9"/>
    </w:rPr>
  </w:style>
  <w:style w:type="character" w:styleId="CitazioneintensaCarattere" w:customStyle="1">
    <w:name w:val="Citazione intensa Carattere"/>
    <w:basedOn w:val="DefaultParagraphFont"/>
    <w:link w:val="IntenseQuote"/>
    <w:uiPriority w:val="30"/>
    <w:qFormat/>
    <w:rsid w:val="00281ef7"/>
    <w:rPr>
      <w:rFonts w:ascii="Calibri Light" w:hAnsi="Calibri Light" w:eastAsia="" w:cs="" w:asciiTheme="majorHAnsi" w:cstheme="majorBidi" w:eastAsiaTheme="majorEastAsia" w:hAnsiTheme="majorHAnsi"/>
      <w:i/>
      <w:iCs/>
      <w:color w:val="70AD47" w:themeColor="accent6"/>
      <w:sz w:val="32"/>
      <w:szCs w:val="32"/>
    </w:rPr>
  </w:style>
  <w:style w:type="character" w:styleId="SubtleEmphasis">
    <w:name w:val="Subtle Emphasis"/>
    <w:basedOn w:val="DefaultParagraphFont"/>
    <w:uiPriority w:val="19"/>
    <w:qFormat/>
    <w:rsid w:val="00281ef7"/>
    <w:rPr>
      <w:i/>
      <w:iCs/>
    </w:rPr>
  </w:style>
  <w:style w:type="character" w:styleId="IntenseEmphasis">
    <w:name w:val="Intense Emphasis"/>
    <w:basedOn w:val="DefaultParagraphFont"/>
    <w:uiPriority w:val="21"/>
    <w:qFormat/>
    <w:rsid w:val="00281ef7"/>
    <w:rPr>
      <w:b/>
      <w:bCs/>
      <w:i/>
      <w:iCs/>
    </w:rPr>
  </w:style>
  <w:style w:type="character" w:styleId="SubtleReference">
    <w:name w:val="Subtle Reference"/>
    <w:basedOn w:val="DefaultParagraphFont"/>
    <w:uiPriority w:val="31"/>
    <w:qFormat/>
    <w:rsid w:val="00281ef7"/>
    <w:rPr>
      <w:smallCaps/>
      <w:color w:val="595959" w:themeColor="text1" w:themeTint="a6"/>
    </w:rPr>
  </w:style>
  <w:style w:type="character" w:styleId="IntenseReference">
    <w:name w:val="Intense Reference"/>
    <w:basedOn w:val="DefaultParagraphFont"/>
    <w:uiPriority w:val="32"/>
    <w:qFormat/>
    <w:rsid w:val="00281ef7"/>
    <w:rPr>
      <w:b/>
      <w:bCs/>
      <w:smallCaps/>
      <w:color w:val="70AD47" w:themeColor="accent6"/>
    </w:rPr>
  </w:style>
  <w:style w:type="character" w:styleId="BookTitle">
    <w:name w:val="Book Title"/>
    <w:basedOn w:val="DefaultParagraphFont"/>
    <w:qFormat/>
    <w:rsid w:val="00281ef7"/>
    <w:rPr>
      <w:b/>
      <w:bCs/>
      <w:smallCaps/>
      <w:spacing w:val="7"/>
      <w:sz w:val="21"/>
      <w:szCs w:val="21"/>
    </w:rPr>
  </w:style>
  <w:style w:type="character" w:styleId="CollegamentoInternet">
    <w:name w:val="Hyperlink"/>
    <w:basedOn w:val="DefaultParagraphFont"/>
    <w:uiPriority w:val="99"/>
    <w:unhideWhenUsed/>
    <w:rsid w:val="00281ef7"/>
    <w:rPr>
      <w:color w:val="0563C1" w:themeColor="hyperlink"/>
      <w:u w:val="single"/>
    </w:rPr>
  </w:style>
  <w:style w:type="character" w:styleId="TestonotaapidipaginaCarattere" w:customStyle="1">
    <w:name w:val="Testo nota a piè di pagina Carattere"/>
    <w:basedOn w:val="DefaultParagraphFont"/>
    <w:qFormat/>
    <w:rsid w:val="008532b5"/>
    <w:rPr>
      <w:color w:val="595959" w:themeColor="text1" w:themeTint="a6"/>
      <w:sz w:val="20"/>
      <w:szCs w:val="20"/>
    </w:rPr>
  </w:style>
  <w:style w:type="character" w:styleId="Caratterinotaapidipagina">
    <w:name w:val="Caratteri nota a piè di pagina"/>
    <w:unhideWhenUsed/>
    <w:qFormat/>
    <w:rsid w:val="009b3fdc"/>
    <w:rPr>
      <w:vertAlign w:val="superscript"/>
    </w:rPr>
  </w:style>
  <w:style w:type="character" w:styleId="Richiamoallanotaapidipagina">
    <w:name w:val="Footnote Reference"/>
    <w:rPr>
      <w:vertAlign w:val="superscript"/>
    </w:rPr>
  </w:style>
  <w:style w:type="character" w:styleId="Pagenumber">
    <w:name w:val="page number"/>
    <w:basedOn w:val="DefaultParagraphFont"/>
    <w:unhideWhenUsed/>
    <w:qFormat/>
    <w:rsid w:val="009731d1"/>
    <w:rPr/>
  </w:style>
  <w:style w:type="character" w:styleId="TestocommentoCarattere" w:customStyle="1">
    <w:name w:val="Testo commento Carattere"/>
    <w:basedOn w:val="DefaultParagraphFont"/>
    <w:link w:val="Annotationtext"/>
    <w:qFormat/>
    <w:rsid w:val="005601b4"/>
    <w:rPr>
      <w:sz w:val="20"/>
      <w:szCs w:val="20"/>
      <w:lang w:eastAsia="it-IT"/>
    </w:rPr>
  </w:style>
  <w:style w:type="character" w:styleId="Annotationreference">
    <w:name w:val="annotation reference"/>
    <w:basedOn w:val="DefaultParagraphFont"/>
    <w:unhideWhenUsed/>
    <w:qFormat/>
    <w:rsid w:val="005601b4"/>
    <w:rPr>
      <w:sz w:val="16"/>
      <w:szCs w:val="16"/>
    </w:rPr>
  </w:style>
  <w:style w:type="character" w:styleId="TestofumettoCarattere" w:customStyle="1">
    <w:name w:val="Testo fumetto Carattere"/>
    <w:basedOn w:val="DefaultParagraphFont"/>
    <w:link w:val="BalloonText"/>
    <w:qFormat/>
    <w:rsid w:val="00944b2e"/>
    <w:rPr>
      <w:rFonts w:ascii="Tahoma" w:hAnsi="Tahoma" w:cs="Tahoma"/>
      <w:color w:val="404040" w:themeColor="text1" w:themeTint="bf"/>
      <w:sz w:val="16"/>
      <w:szCs w:val="16"/>
    </w:rPr>
  </w:style>
  <w:style w:type="character" w:styleId="UnresolvedMention">
    <w:name w:val="Unresolved Mention"/>
    <w:basedOn w:val="DefaultParagraphFont"/>
    <w:uiPriority w:val="99"/>
    <w:semiHidden/>
    <w:unhideWhenUsed/>
    <w:qFormat/>
    <w:rsid w:val="00745529"/>
    <w:rPr>
      <w:color w:val="605E5C"/>
      <w:shd w:fill="E1DFDD" w:val="clear"/>
    </w:rPr>
  </w:style>
  <w:style w:type="character" w:styleId="TestonotaapidipaginaCarattere1TestonotaapidipaginaCarattereCarattereTestonotaapidipaginaCarattere1CarattereCarattereTestonotaapidipaginaCarattereCarattereCarattereCarattereCarattereCarattere1" w:customStyle="1">
    <w:name w:val="Testo nota a piè di pagina Carattere1;Testo nota a piè di pagina Carattere Carattere;Testo nota a piè di pagina Carattere1 Carattere Carattere;Testo nota a piè di pagina Carattere Carattere Carattere Carattere;Carattere Carattere1"/>
    <w:qFormat/>
    <w:rsid w:val="000f434d"/>
    <w:rPr>
      <w:rFonts w:ascii="Arial" w:hAnsi="Arial" w:cs="Times New Roman"/>
      <w:w w:val="100"/>
      <w:position w:val="0"/>
      <w:sz w:val="21"/>
      <w:sz w:val="21"/>
      <w:effect w:val="none"/>
      <w:vertAlign w:val="baseline"/>
      <w:em w:val="none"/>
      <w:lang w:val="it-IT" w:eastAsia="it-IT"/>
    </w:rPr>
  </w:style>
  <w:style w:type="character" w:styleId="CorpotestoCarattere" w:customStyle="1">
    <w:name w:val="Corpo testo Carattere"/>
    <w:basedOn w:val="DefaultParagraphFont"/>
    <w:qFormat/>
    <w:rsid w:val="000f434d"/>
    <w:rPr>
      <w:rFonts w:ascii="Times New Roman" w:hAnsi="Times New Roman" w:eastAsia="Times New Roman" w:cs="Times New Roman"/>
      <w:sz w:val="24"/>
      <w:szCs w:val="24"/>
      <w:vertAlign w:val="subscript"/>
      <w:lang w:eastAsia="it-IT"/>
    </w:rPr>
  </w:style>
  <w:style w:type="character" w:styleId="RientrocorpodeltestoCarattere" w:customStyle="1">
    <w:name w:val="Rientro corpo del testo Carattere"/>
    <w:basedOn w:val="DefaultParagraphFont"/>
    <w:qFormat/>
    <w:rsid w:val="000f434d"/>
    <w:rPr>
      <w:rFonts w:ascii="Times New Roman" w:hAnsi="Times New Roman" w:eastAsia="Times New Roman" w:cs="Times New Roman"/>
      <w:sz w:val="24"/>
      <w:szCs w:val="24"/>
      <w:vertAlign w:val="subscript"/>
      <w:lang w:eastAsia="it-IT"/>
    </w:rPr>
  </w:style>
  <w:style w:type="character" w:styleId="Corpodeltesto2Carattere" w:customStyle="1">
    <w:name w:val="Corpo del testo 2 Carattere"/>
    <w:basedOn w:val="DefaultParagraphFont"/>
    <w:link w:val="BodyText2"/>
    <w:qFormat/>
    <w:rsid w:val="000f434d"/>
    <w:rPr>
      <w:rFonts w:ascii="Times New Roman" w:hAnsi="Times New Roman" w:eastAsia="Times New Roman" w:cs="Times New Roman"/>
      <w:sz w:val="24"/>
      <w:szCs w:val="24"/>
      <w:vertAlign w:val="subscript"/>
      <w:lang w:eastAsia="it-IT"/>
    </w:rPr>
  </w:style>
  <w:style w:type="character" w:styleId="Corpodeltesto3Carattere" w:customStyle="1">
    <w:name w:val="Corpo del testo 3 Carattere"/>
    <w:basedOn w:val="DefaultParagraphFont"/>
    <w:link w:val="BodyText3"/>
    <w:qFormat/>
    <w:rsid w:val="000f434d"/>
    <w:rPr>
      <w:rFonts w:ascii="Times New Roman" w:hAnsi="Times New Roman" w:eastAsia="Times New Roman" w:cs="Times New Roman"/>
      <w:sz w:val="16"/>
      <w:szCs w:val="16"/>
      <w:vertAlign w:val="subscript"/>
      <w:lang w:eastAsia="it-IT"/>
    </w:rPr>
  </w:style>
  <w:style w:type="character" w:styleId="Rientrocorpodeltesto2Carattere" w:customStyle="1">
    <w:name w:val="Rientro corpo del testo 2 Carattere"/>
    <w:basedOn w:val="DefaultParagraphFont"/>
    <w:link w:val="BodyTextIndent2"/>
    <w:qFormat/>
    <w:rsid w:val="000f434d"/>
    <w:rPr>
      <w:rFonts w:ascii="Times New Roman" w:hAnsi="Times New Roman" w:eastAsia="Times New Roman" w:cs="Times New Roman"/>
      <w:sz w:val="24"/>
      <w:szCs w:val="24"/>
      <w:vertAlign w:val="subscript"/>
      <w:lang w:eastAsia="it-IT"/>
    </w:rPr>
  </w:style>
  <w:style w:type="character" w:styleId="MappadocumentoCarattere" w:customStyle="1">
    <w:name w:val="Mappa documento Carattere"/>
    <w:basedOn w:val="DefaultParagraphFont"/>
    <w:link w:val="DocumentMap"/>
    <w:qFormat/>
    <w:rsid w:val="000f434d"/>
    <w:rPr>
      <w:rFonts w:ascii="Times New Roman" w:hAnsi="Times New Roman" w:eastAsia="Times New Roman" w:cs="Times New Roman"/>
      <w:sz w:val="2"/>
      <w:szCs w:val="20"/>
      <w:shd w:fill="000080" w:val="clear"/>
      <w:vertAlign w:val="subscript"/>
      <w:lang w:eastAsia="it-IT"/>
    </w:rPr>
  </w:style>
  <w:style w:type="character" w:styleId="CarattereCarattere" w:customStyle="1">
    <w:name w:val="Carattere Carattere"/>
    <w:qFormat/>
    <w:rsid w:val="000f434d"/>
    <w:rPr>
      <w:rFonts w:ascii="Arial" w:hAnsi="Arial"/>
      <w:w w:val="100"/>
      <w:kern w:val="2"/>
      <w:position w:val="0"/>
      <w:sz w:val="24"/>
      <w:sz w:val="24"/>
      <w:effect w:val="none"/>
      <w:vertAlign w:val="baseline"/>
      <w:em w:val="none"/>
    </w:rPr>
  </w:style>
  <w:style w:type="character" w:styleId="SoggettocommentoCarattere" w:customStyle="1">
    <w:name w:val="Soggetto commento Carattere"/>
    <w:basedOn w:val="TestocommentoCarattere"/>
    <w:link w:val="Annotationsubject"/>
    <w:qFormat/>
    <w:rsid w:val="000f434d"/>
    <w:rPr>
      <w:rFonts w:ascii="Times New Roman" w:hAnsi="Times New Roman" w:eastAsia="Times New Roman" w:cs="Times New Roman"/>
      <w:b/>
      <w:bCs/>
      <w:sz w:val="20"/>
      <w:szCs w:val="20"/>
      <w:vertAlign w:val="subscript"/>
      <w:lang w:eastAsia="it-IT"/>
    </w:rPr>
  </w:style>
  <w:style w:type="character" w:styleId="CollegamentoInternetvisitato">
    <w:name w:val="FollowedHyperlink"/>
    <w:rsid w:val="000f434d"/>
    <w:rPr>
      <w:color w:val="800080"/>
      <w:w w:val="100"/>
      <w:position w:val="0"/>
      <w:sz w:val="21"/>
      <w:sz w:val="21"/>
      <w:u w:val="single"/>
      <w:effect w:val="none"/>
      <w:vertAlign w:val="baseline"/>
      <w:em w:val="none"/>
    </w:rPr>
  </w:style>
  <w:style w:type="character" w:styleId="Linkneltesto" w:customStyle="1">
    <w:name w:val="link_nel_testo"/>
    <w:qFormat/>
    <w:rsid w:val="000f434d"/>
    <w:rPr>
      <w:i/>
      <w:w w:val="100"/>
      <w:position w:val="0"/>
      <w:sz w:val="21"/>
      <w:sz w:val="21"/>
      <w:effect w:val="none"/>
      <w:vertAlign w:val="baseline"/>
      <w:em w:val="none"/>
    </w:rPr>
  </w:style>
  <w:style w:type="character" w:styleId="Provvnumcomma" w:customStyle="1">
    <w:name w:val="provv_numcomma"/>
    <w:qFormat/>
    <w:rsid w:val="000f434d"/>
    <w:rPr>
      <w:w w:val="100"/>
      <w:position w:val="0"/>
      <w:sz w:val="21"/>
      <w:sz w:val="21"/>
      <w:effect w:val="none"/>
      <w:vertAlign w:val="baseline"/>
      <w:em w:val="none"/>
    </w:rPr>
  </w:style>
  <w:style w:type="character" w:styleId="Appleconvertedspace" w:customStyle="1">
    <w:name w:val="apple-converted-space"/>
    <w:uiPriority w:val="99"/>
    <w:qFormat/>
    <w:rsid w:val="000f434d"/>
    <w:rPr>
      <w:w w:val="100"/>
      <w:position w:val="0"/>
      <w:sz w:val="21"/>
      <w:sz w:val="21"/>
      <w:effect w:val="none"/>
      <w:vertAlign w:val="baseline"/>
      <w:em w:val="none"/>
    </w:rPr>
  </w:style>
  <w:style w:type="character" w:styleId="PreformattatoHTMLCarattere" w:customStyle="1">
    <w:name w:val="Preformattato HTML Carattere"/>
    <w:basedOn w:val="DefaultParagraphFont"/>
    <w:link w:val="HTMLPreformatted"/>
    <w:uiPriority w:val="99"/>
    <w:qFormat/>
    <w:rsid w:val="000f434d"/>
    <w:rPr>
      <w:rFonts w:ascii="Courier New" w:hAnsi="Courier New" w:eastAsia="Times New Roman" w:cs="Times New Roman"/>
      <w:sz w:val="20"/>
      <w:szCs w:val="20"/>
      <w:vertAlign w:val="subscript"/>
      <w:lang w:eastAsia="it-IT"/>
    </w:rPr>
  </w:style>
  <w:style w:type="character" w:styleId="Navilast" w:customStyle="1">
    <w:name w:val="navi_last"/>
    <w:qFormat/>
    <w:rsid w:val="000f434d"/>
    <w:rPr>
      <w:w w:val="100"/>
      <w:position w:val="0"/>
      <w:sz w:val="21"/>
      <w:sz w:val="21"/>
      <w:effect w:val="none"/>
      <w:vertAlign w:val="baseline"/>
      <w:em w:val="none"/>
    </w:rPr>
  </w:style>
  <w:style w:type="character" w:styleId="Lilinkmenulista" w:customStyle="1">
    <w:name w:val="lilinkmenulista"/>
    <w:qFormat/>
    <w:rsid w:val="000f434d"/>
    <w:rPr>
      <w:w w:val="100"/>
      <w:position w:val="0"/>
      <w:sz w:val="21"/>
      <w:sz w:val="21"/>
      <w:effect w:val="none"/>
      <w:vertAlign w:val="baseline"/>
      <w:em w:val="none"/>
    </w:rPr>
  </w:style>
  <w:style w:type="character" w:styleId="Provvrubrica" w:customStyle="1">
    <w:name w:val="provv_rubrica"/>
    <w:uiPriority w:val="99"/>
    <w:qFormat/>
    <w:rsid w:val="000f434d"/>
    <w:rPr>
      <w:w w:val="100"/>
      <w:position w:val="0"/>
      <w:sz w:val="21"/>
      <w:sz w:val="21"/>
      <w:effect w:val="none"/>
      <w:vertAlign w:val="baseline"/>
      <w:em w:val="none"/>
    </w:rPr>
  </w:style>
  <w:style w:type="character" w:styleId="Menzionenonrisolta1" w:customStyle="1">
    <w:name w:val="Menzione non risolta1"/>
    <w:qFormat/>
    <w:rsid w:val="000f434d"/>
    <w:rPr>
      <w:color w:val="808080"/>
      <w:w w:val="100"/>
      <w:position w:val="0"/>
      <w:sz w:val="21"/>
      <w:sz w:val="21"/>
      <w:effect w:val="none"/>
      <w:shd w:fill="E6E6E6" w:val="clear"/>
      <w:vertAlign w:val="baseline"/>
      <w:em w:val="none"/>
    </w:rPr>
  </w:style>
  <w:style w:type="character" w:styleId="Menzionenonrisolta2" w:customStyle="1">
    <w:name w:val="Menzione non risolta2"/>
    <w:qFormat/>
    <w:rsid w:val="000f434d"/>
    <w:rPr>
      <w:color w:val="605E5C"/>
      <w:w w:val="100"/>
      <w:position w:val="0"/>
      <w:sz w:val="21"/>
      <w:sz w:val="21"/>
      <w:effect w:val="none"/>
      <w:shd w:fill="E1DFDD" w:val="clear"/>
      <w:vertAlign w:val="baseline"/>
      <w:em w:val="none"/>
    </w:rPr>
  </w:style>
  <w:style w:type="character" w:styleId="Nessuno" w:customStyle="1">
    <w:name w:val="Nessuno"/>
    <w:qFormat/>
    <w:rsid w:val="000f434d"/>
    <w:rPr>
      <w:w w:val="100"/>
      <w:position w:val="0"/>
      <w:sz w:val="21"/>
      <w:sz w:val="21"/>
      <w:effect w:val="none"/>
      <w:vertAlign w:val="baseline"/>
      <w:em w:val="none"/>
    </w:rPr>
  </w:style>
  <w:style w:type="character" w:styleId="Hyperlink1" w:customStyle="1">
    <w:name w:val="Hyperlink.1"/>
    <w:qFormat/>
    <w:rsid w:val="000f434d"/>
    <w:rPr>
      <w:rFonts w:ascii="Arial" w:hAnsi="Arial" w:eastAsia="Arial" w:cs="Arial"/>
      <w:w w:val="100"/>
      <w:position w:val="0"/>
      <w:sz w:val="22"/>
      <w:sz w:val="22"/>
      <w:szCs w:val="22"/>
      <w:effect w:val="none"/>
      <w:vertAlign w:val="baseline"/>
      <w:em w:val="none"/>
    </w:rPr>
  </w:style>
  <w:style w:type="character" w:styleId="Hyperlink0" w:customStyle="1">
    <w:name w:val="Hyperlink.0"/>
    <w:qFormat/>
    <w:rsid w:val="000f434d"/>
    <w:rPr>
      <w:rFonts w:ascii="Arial" w:hAnsi="Arial" w:eastAsia="Arial" w:cs="Arial"/>
      <w:color w:val="000000"/>
      <w:w w:val="100"/>
      <w:position w:val="0"/>
      <w:sz w:val="22"/>
      <w:sz w:val="22"/>
      <w:szCs w:val="22"/>
      <w:u w:val="none" w:color="000000"/>
      <w:effect w:val="none"/>
      <w:vertAlign w:val="baseline"/>
      <w:em w:val="none"/>
      <w:lang w:val="it-IT"/>
    </w:rPr>
  </w:style>
  <w:style w:type="character" w:styleId="Hyperlink2" w:customStyle="1">
    <w:name w:val="Hyperlink.2"/>
    <w:qFormat/>
    <w:rsid w:val="000f434d"/>
    <w:rPr>
      <w:rFonts w:ascii="Arial" w:hAnsi="Arial" w:eastAsia="Arial" w:cs="Arial"/>
      <w:i/>
      <w:iCs/>
      <w:color w:val="00B0F0"/>
      <w:w w:val="100"/>
      <w:position w:val="0"/>
      <w:sz w:val="22"/>
      <w:sz w:val="22"/>
      <w:szCs w:val="22"/>
      <w:effect w:val="none"/>
      <w:vertAlign w:val="baseline"/>
      <w:em w:val="none"/>
    </w:rPr>
  </w:style>
  <w:style w:type="character" w:styleId="NessunaspaziaturaCarattere" w:customStyle="1">
    <w:name w:val="Nessuna spaziatura Carattere"/>
    <w:link w:val="NoSpacing"/>
    <w:uiPriority w:val="1"/>
    <w:qFormat/>
    <w:rsid w:val="004d3a15"/>
    <w:rPr/>
  </w:style>
  <w:style w:type="character" w:styleId="Caratterinotadichiusura">
    <w:name w:val="Caratteri nota di chiusura"/>
    <w:qFormat/>
    <w:rsid w:val="004d3a15"/>
    <w:rPr>
      <w:vertAlign w:val="superscript"/>
    </w:rPr>
  </w:style>
  <w:style w:type="character" w:styleId="Richiamoallanotadichiusura">
    <w:name w:val="Endnote Reference"/>
    <w:rPr>
      <w:vertAlign w:val="superscript"/>
    </w:rPr>
  </w:style>
  <w:style w:type="character" w:styleId="TestonormaleCarattere" w:customStyle="1">
    <w:name w:val="Testo normale Carattere"/>
    <w:basedOn w:val="DefaultParagraphFont"/>
    <w:link w:val="PlainText"/>
    <w:uiPriority w:val="99"/>
    <w:qFormat/>
    <w:rsid w:val="004d3a15"/>
    <w:rPr>
      <w:rFonts w:ascii="Calibri" w:hAnsi="Calibri" w:eastAsia="Calibri" w:cs="Times New Roman"/>
      <w:sz w:val="22"/>
    </w:rPr>
  </w:style>
  <w:style w:type="character" w:styleId="Uiprovider" w:customStyle="1">
    <w:name w:val="ui-provider"/>
    <w:basedOn w:val="DefaultParagraphFont"/>
    <w:qFormat/>
    <w:rsid w:val="004d3a15"/>
    <w:rPr/>
  </w:style>
  <w:style w:type="character" w:styleId="Saltoaindice">
    <w:name w:val="Salto a indice"/>
    <w:qFormat/>
    <w:rPr/>
  </w:style>
  <w:style w:type="character" w:styleId="Punti">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link w:val="CorpotestoCarattere"/>
    <w:rsid w:val="000f434d"/>
    <w:pPr>
      <w:widowControl w:val="false"/>
      <w:suppressAutoHyphens w:val="true"/>
      <w:overflowPunct w:val="true"/>
      <w:spacing w:lineRule="atLeast" w:line="1" w:before="0" w:after="120"/>
      <w:ind w:left="-1" w:hanging="1"/>
      <w:textAlignment w:val="top"/>
      <w:outlineLvl w:val="0"/>
    </w:pPr>
    <w:rPr>
      <w:rFonts w:ascii="Times New Roman" w:hAnsi="Times New Roman" w:eastAsia="Times New Roman" w:cs="Times New Roman"/>
      <w:color w:val="auto"/>
      <w:sz w:val="24"/>
      <w:szCs w:val="24"/>
      <w:vertAlign w:val="subscript"/>
      <w:lang w:eastAsia="it-IT"/>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Intestazioneepidipagina">
    <w:name w:val="Intestazione e piè di pagina"/>
    <w:basedOn w:val="Normal"/>
    <w:qFormat/>
    <w:pPr/>
    <w:rPr/>
  </w:style>
  <w:style w:type="paragraph" w:styleId="Intestazione">
    <w:name w:val="Header"/>
    <w:basedOn w:val="Normal"/>
    <w:link w:val="IntestazioneCarattere"/>
    <w:unhideWhenUsed/>
    <w:rsid w:val="00281ef7"/>
    <w:pPr>
      <w:tabs>
        <w:tab w:val="clear" w:pos="708"/>
        <w:tab w:val="center" w:pos="4819" w:leader="none"/>
        <w:tab w:val="right" w:pos="9638" w:leader="none"/>
      </w:tabs>
      <w:spacing w:lineRule="auto" w:line="240" w:before="0" w:after="0"/>
    </w:pPr>
    <w:rPr/>
  </w:style>
  <w:style w:type="paragraph" w:styleId="Pidipagina">
    <w:name w:val="Footer"/>
    <w:basedOn w:val="Normal"/>
    <w:link w:val="PidipaginaCarattere"/>
    <w:uiPriority w:val="99"/>
    <w:unhideWhenUsed/>
    <w:rsid w:val="00281ef7"/>
    <w:pPr>
      <w:tabs>
        <w:tab w:val="clear" w:pos="708"/>
        <w:tab w:val="center" w:pos="4819" w:leader="none"/>
        <w:tab w:val="right" w:pos="9638" w:leader="none"/>
      </w:tabs>
      <w:spacing w:lineRule="auto" w:line="240" w:before="0" w:after="0"/>
    </w:pPr>
    <w:rPr/>
  </w:style>
  <w:style w:type="paragraph" w:styleId="Default" w:customStyle="1">
    <w:name w:val="Default"/>
    <w:qFormat/>
    <w:rsid w:val="00281ef7"/>
    <w:pPr>
      <w:widowControl/>
      <w:suppressAutoHyphens w:val="true"/>
      <w:bidi w:val="0"/>
      <w:spacing w:lineRule="auto" w:line="240" w:before="0" w:after="0"/>
      <w:jc w:val="left"/>
    </w:pPr>
    <w:rPr>
      <w:rFonts w:ascii="Calibri" w:hAnsi="Calibri" w:eastAsia="Calibri" w:cs="Calibri"/>
      <w:color w:val="000000"/>
      <w:kern w:val="0"/>
      <w:sz w:val="24"/>
      <w:szCs w:val="24"/>
      <w:lang w:val="it-IT" w:eastAsia="en-US" w:bidi="ar-SA"/>
    </w:rPr>
  </w:style>
  <w:style w:type="paragraph" w:styleId="Caption">
    <w:name w:val="caption"/>
    <w:basedOn w:val="Normal"/>
    <w:next w:val="Normal"/>
    <w:unhideWhenUsed/>
    <w:qFormat/>
    <w:rsid w:val="00281ef7"/>
    <w:pPr>
      <w:spacing w:lineRule="auto" w:line="240"/>
    </w:pPr>
    <w:rPr>
      <w:b/>
      <w:bCs/>
      <w:smallCaps/>
      <w:color w:val="595959" w:themeColor="text1" w:themeTint="a6"/>
    </w:rPr>
  </w:style>
  <w:style w:type="paragraph" w:styleId="Titoloprincipale">
    <w:name w:val="Title"/>
    <w:basedOn w:val="Normal"/>
    <w:next w:val="Normal"/>
    <w:link w:val="TitoloCarattere"/>
    <w:qFormat/>
    <w:rsid w:val="00281ef7"/>
    <w:pPr>
      <w:spacing w:lineRule="auto" w:line="240" w:before="0" w:after="0"/>
      <w:contextualSpacing/>
    </w:pPr>
    <w:rPr>
      <w:rFonts w:ascii="Calibri Light" w:hAnsi="Calibri Light" w:eastAsia="" w:cs="" w:asciiTheme="majorHAnsi" w:cstheme="majorBidi" w:eastAsiaTheme="majorEastAsia" w:hAnsiTheme="majorHAnsi"/>
      <w:color w:val="262626" w:themeColor="text1" w:themeTint="d9"/>
      <w:spacing w:val="-15"/>
      <w:sz w:val="96"/>
      <w:szCs w:val="96"/>
    </w:rPr>
  </w:style>
  <w:style w:type="paragraph" w:styleId="Sottotitolo">
    <w:name w:val="Subtitle"/>
    <w:basedOn w:val="Normal"/>
    <w:next w:val="Normal"/>
    <w:link w:val="SottotitoloCarattere"/>
    <w:uiPriority w:val="11"/>
    <w:qFormat/>
    <w:rsid w:val="00281ef7"/>
    <w:pPr>
      <w:spacing w:lineRule="auto" w:line="240"/>
    </w:pPr>
    <w:rPr>
      <w:rFonts w:ascii="Calibri Light" w:hAnsi="Calibri Light" w:eastAsia="" w:cs="" w:asciiTheme="majorHAnsi" w:cstheme="majorBidi" w:eastAsiaTheme="majorEastAsia" w:hAnsiTheme="majorHAnsi"/>
      <w:sz w:val="30"/>
      <w:szCs w:val="30"/>
    </w:rPr>
  </w:style>
  <w:style w:type="paragraph" w:styleId="NoSpacing">
    <w:name w:val="No Spacing"/>
    <w:link w:val="NessunaspaziaturaCarattere"/>
    <w:uiPriority w:val="1"/>
    <w:qFormat/>
    <w:rsid w:val="00281ef7"/>
    <w:pPr>
      <w:widowControl/>
      <w:suppressAutoHyphens w:val="true"/>
      <w:bidi w:val="0"/>
      <w:spacing w:lineRule="auto" w:line="240" w:before="0" w:after="0"/>
      <w:jc w:val="left"/>
    </w:pPr>
    <w:rPr>
      <w:rFonts w:ascii="Calibri" w:hAnsi="Calibri" w:eastAsia="" w:cs="" w:asciiTheme="minorHAnsi" w:cstheme="minorBidi" w:eastAsiaTheme="minorEastAsia" w:hAnsiTheme="minorHAnsi"/>
      <w:color w:val="auto"/>
      <w:kern w:val="0"/>
      <w:sz w:val="21"/>
      <w:szCs w:val="21"/>
      <w:lang w:val="it-IT" w:eastAsia="en-US" w:bidi="ar-SA"/>
    </w:rPr>
  </w:style>
  <w:style w:type="paragraph" w:styleId="Quote">
    <w:name w:val="Quote"/>
    <w:basedOn w:val="Normal"/>
    <w:next w:val="Normal"/>
    <w:link w:val="CitazioneCarattere"/>
    <w:uiPriority w:val="29"/>
    <w:qFormat/>
    <w:rsid w:val="00281ef7"/>
    <w:pPr>
      <w:spacing w:before="160" w:after="200"/>
      <w:ind w:left="720" w:right="720" w:hanging="0"/>
      <w:jc w:val="center"/>
    </w:pPr>
    <w:rPr>
      <w:i/>
      <w:iCs/>
      <w:color w:val="262626" w:themeColor="text1" w:themeTint="d9"/>
    </w:rPr>
  </w:style>
  <w:style w:type="paragraph" w:styleId="IntenseQuote">
    <w:name w:val="Intense Quote"/>
    <w:basedOn w:val="Normal"/>
    <w:next w:val="Normal"/>
    <w:link w:val="CitazioneintensaCarattere"/>
    <w:uiPriority w:val="30"/>
    <w:qFormat/>
    <w:rsid w:val="00281ef7"/>
    <w:pPr>
      <w:spacing w:lineRule="auto" w:line="264" w:before="160" w:after="160"/>
      <w:ind w:left="720" w:right="720" w:hanging="0"/>
      <w:jc w:val="center"/>
    </w:pPr>
    <w:rPr>
      <w:rFonts w:ascii="Calibri Light" w:hAnsi="Calibri Light" w:eastAsia="" w:cs="" w:asciiTheme="majorHAnsi" w:cstheme="majorBidi" w:eastAsiaTheme="majorEastAsia" w:hAnsiTheme="majorHAnsi"/>
      <w:i/>
      <w:iCs/>
      <w:color w:val="70AD47" w:themeColor="accent6"/>
      <w:sz w:val="32"/>
      <w:szCs w:val="32"/>
    </w:rPr>
  </w:style>
  <w:style w:type="paragraph" w:styleId="Titoloindiceanalitico">
    <w:name w:val="Index Heading"/>
    <w:basedOn w:val="Titolo"/>
    <w:pPr/>
    <w:rPr/>
  </w:style>
  <w:style w:type="paragraph" w:styleId="Titoloindice">
    <w:name w:val="TOC Heading"/>
    <w:basedOn w:val="Titolo1"/>
    <w:next w:val="Normal"/>
    <w:uiPriority w:val="39"/>
    <w:unhideWhenUsed/>
    <w:qFormat/>
    <w:rsid w:val="00281ef7"/>
    <w:pPr>
      <w:outlineLvl w:val="9"/>
    </w:pPr>
    <w:rPr/>
  </w:style>
  <w:style w:type="paragraph" w:styleId="Indice1">
    <w:name w:val="TOC 1"/>
    <w:basedOn w:val="Normal"/>
    <w:next w:val="Normal"/>
    <w:autoRedefine/>
    <w:uiPriority w:val="39"/>
    <w:unhideWhenUsed/>
    <w:rsid w:val="00332abb"/>
    <w:pPr>
      <w:tabs>
        <w:tab w:val="clear" w:pos="708"/>
        <w:tab w:val="left" w:pos="8505" w:leader="none"/>
      </w:tabs>
      <w:spacing w:lineRule="auto" w:line="264" w:before="240" w:after="60"/>
      <w:ind w:left="426" w:hanging="426"/>
    </w:pPr>
    <w:rPr>
      <w:rFonts w:cs="Calibri (Corpo)"/>
      <w:b/>
      <w:bCs/>
      <w:smallCaps/>
      <w:sz w:val="25"/>
      <w:szCs w:val="22"/>
    </w:rPr>
  </w:style>
  <w:style w:type="paragraph" w:styleId="Indice2">
    <w:name w:val="TOC 2"/>
    <w:basedOn w:val="Normal"/>
    <w:next w:val="Normal"/>
    <w:autoRedefine/>
    <w:uiPriority w:val="39"/>
    <w:unhideWhenUsed/>
    <w:rsid w:val="00332abb"/>
    <w:pPr>
      <w:tabs>
        <w:tab w:val="clear" w:pos="708"/>
        <w:tab w:val="left" w:pos="1276" w:leader="none"/>
        <w:tab w:val="left" w:pos="8505" w:leader="none"/>
      </w:tabs>
      <w:spacing w:lineRule="auto" w:line="276" w:before="60" w:after="60"/>
      <w:ind w:left="851" w:right="1701" w:hanging="425"/>
    </w:pPr>
    <w:rPr>
      <w:rFonts w:cs="Calibri (Corpo)"/>
      <w:bCs/>
      <w:szCs w:val="22"/>
    </w:rPr>
  </w:style>
  <w:style w:type="paragraph" w:styleId="Indice3">
    <w:name w:val="TOC 3"/>
    <w:basedOn w:val="Normal"/>
    <w:next w:val="Normal"/>
    <w:autoRedefine/>
    <w:uiPriority w:val="39"/>
    <w:unhideWhenUsed/>
    <w:rsid w:val="00332abb"/>
    <w:pPr>
      <w:tabs>
        <w:tab w:val="clear" w:pos="708"/>
        <w:tab w:val="left" w:pos="1134" w:leader="none"/>
        <w:tab w:val="left" w:pos="8505" w:leader="none"/>
      </w:tabs>
      <w:spacing w:before="0" w:after="0"/>
      <w:ind w:left="1418" w:right="565" w:hanging="567"/>
    </w:pPr>
    <w:rPr>
      <w:rFonts w:cs="Calibri (Corpo)"/>
      <w:sz w:val="21"/>
      <w:szCs w:val="22"/>
    </w:rPr>
  </w:style>
  <w:style w:type="paragraph" w:styleId="Notaapidipagina">
    <w:name w:val="Footnote Text"/>
    <w:basedOn w:val="Normal"/>
    <w:link w:val="TestonotaapidipaginaCarattere"/>
    <w:unhideWhenUsed/>
    <w:rsid w:val="008532b5"/>
    <w:pPr>
      <w:spacing w:lineRule="auto" w:line="240" w:before="0" w:after="0"/>
    </w:pPr>
    <w:rPr>
      <w:color w:val="595959" w:themeColor="text1" w:themeTint="a6"/>
      <w:sz w:val="20"/>
      <w:szCs w:val="20"/>
    </w:rPr>
  </w:style>
  <w:style w:type="paragraph" w:styleId="TipoDocumento" w:customStyle="1">
    <w:name w:val="Tipo Documento"/>
    <w:basedOn w:val="Normal"/>
    <w:qFormat/>
    <w:rsid w:val="00b96b24"/>
    <w:pPr>
      <w:spacing w:lineRule="auto" w:line="240"/>
    </w:pPr>
    <w:rPr>
      <w:rFonts w:cs="Times New Roman (Corpo CS)"/>
      <w:b/>
      <w:bCs/>
      <w:caps/>
      <w:color w:val="C00000"/>
      <w:spacing w:val="20"/>
      <w:sz w:val="20"/>
    </w:rPr>
  </w:style>
  <w:style w:type="paragraph" w:styleId="CopertinaAutori" w:customStyle="1">
    <w:name w:val="Copertina - Autori"/>
    <w:basedOn w:val="Normal"/>
    <w:qFormat/>
    <w:rsid w:val="00b96b24"/>
    <w:pPr>
      <w:spacing w:before="0" w:after="120"/>
    </w:pPr>
    <w:rPr>
      <w:rFonts w:eastAsia="Calibri" w:cs="Times New Roman (Corpo CS)"/>
      <w:b/>
      <w:bCs/>
      <w:color w:val="FFFFFF" w:themeColor="background1"/>
      <w:sz w:val="26"/>
      <w:szCs w:val="28"/>
    </w:rPr>
  </w:style>
  <w:style w:type="paragraph" w:styleId="TitoloDocumento" w:customStyle="1">
    <w:name w:val="Titolo Documento"/>
    <w:basedOn w:val="Normal"/>
    <w:qFormat/>
    <w:rsid w:val="00067324"/>
    <w:pPr>
      <w:spacing w:lineRule="auto" w:line="240" w:before="0" w:after="0"/>
    </w:pPr>
    <w:rPr>
      <w:rFonts w:ascii="Calibri" w:hAnsi="Calibri" w:eastAsia="Calibri" w:cs="Calibri"/>
      <w:b/>
      <w:smallCaps/>
      <w:color w:val="FFFFFF" w:themeColor="background1"/>
      <w:sz w:val="72"/>
      <w:szCs w:val="72"/>
    </w:rPr>
  </w:style>
  <w:style w:type="paragraph" w:styleId="Titolononnumerato" w:customStyle="1">
    <w:name w:val="Titolo non numerato"/>
    <w:basedOn w:val="Titolo1"/>
    <w:qFormat/>
    <w:rsid w:val="005601b4"/>
    <w:pPr>
      <w:numPr>
        <w:ilvl w:val="0"/>
        <w:numId w:val="0"/>
      </w:numPr>
    </w:pPr>
    <w:rPr>
      <w:caps/>
    </w:rPr>
  </w:style>
  <w:style w:type="paragraph" w:styleId="Indice4">
    <w:name w:val="TOC 4"/>
    <w:basedOn w:val="Normal"/>
    <w:next w:val="Normal"/>
    <w:autoRedefine/>
    <w:uiPriority w:val="39"/>
    <w:unhideWhenUsed/>
    <w:rsid w:val="00f8628f"/>
    <w:pPr>
      <w:tabs>
        <w:tab w:val="clear" w:pos="708"/>
        <w:tab w:val="left" w:pos="7938" w:leader="none"/>
      </w:tabs>
      <w:spacing w:lineRule="auto" w:line="276" w:before="240" w:after="120"/>
    </w:pPr>
    <w:rPr>
      <w:rFonts w:cs="Calibri" w:cstheme="minorHAnsi"/>
      <w:b/>
      <w:smallCaps/>
      <w:szCs w:val="22"/>
    </w:rPr>
  </w:style>
  <w:style w:type="paragraph" w:styleId="Indice5">
    <w:name w:val="TOC 5"/>
    <w:basedOn w:val="Normal"/>
    <w:next w:val="Normal"/>
    <w:autoRedefine/>
    <w:uiPriority w:val="39"/>
    <w:unhideWhenUsed/>
    <w:rsid w:val="00067324"/>
    <w:pPr>
      <w:spacing w:before="0" w:after="0"/>
    </w:pPr>
    <w:rPr>
      <w:rFonts w:cs="Calibri" w:cstheme="minorHAnsi"/>
      <w:szCs w:val="22"/>
    </w:rPr>
  </w:style>
  <w:style w:type="paragraph" w:styleId="Indice6">
    <w:name w:val="TOC 6"/>
    <w:basedOn w:val="Normal"/>
    <w:next w:val="Normal"/>
    <w:autoRedefine/>
    <w:uiPriority w:val="39"/>
    <w:unhideWhenUsed/>
    <w:rsid w:val="00067324"/>
    <w:pPr>
      <w:spacing w:before="0" w:after="0"/>
    </w:pPr>
    <w:rPr>
      <w:rFonts w:cs="Calibri" w:cstheme="minorHAnsi"/>
      <w:szCs w:val="22"/>
    </w:rPr>
  </w:style>
  <w:style w:type="paragraph" w:styleId="Indice7">
    <w:name w:val="TOC 7"/>
    <w:basedOn w:val="Normal"/>
    <w:next w:val="Normal"/>
    <w:autoRedefine/>
    <w:uiPriority w:val="39"/>
    <w:unhideWhenUsed/>
    <w:rsid w:val="00067324"/>
    <w:pPr>
      <w:spacing w:before="0" w:after="0"/>
    </w:pPr>
    <w:rPr>
      <w:rFonts w:cs="Calibri" w:cstheme="minorHAnsi"/>
      <w:szCs w:val="22"/>
    </w:rPr>
  </w:style>
  <w:style w:type="paragraph" w:styleId="Indice8">
    <w:name w:val="TOC 8"/>
    <w:basedOn w:val="Normal"/>
    <w:next w:val="Normal"/>
    <w:autoRedefine/>
    <w:uiPriority w:val="39"/>
    <w:unhideWhenUsed/>
    <w:rsid w:val="00067324"/>
    <w:pPr>
      <w:spacing w:before="0" w:after="0"/>
    </w:pPr>
    <w:rPr>
      <w:rFonts w:cs="Calibri" w:cstheme="minorHAnsi"/>
      <w:szCs w:val="22"/>
    </w:rPr>
  </w:style>
  <w:style w:type="paragraph" w:styleId="Indice9">
    <w:name w:val="TOC 9"/>
    <w:basedOn w:val="Normal"/>
    <w:next w:val="Normal"/>
    <w:autoRedefine/>
    <w:uiPriority w:val="39"/>
    <w:unhideWhenUsed/>
    <w:rsid w:val="00067324"/>
    <w:pPr>
      <w:spacing w:before="0" w:after="0"/>
    </w:pPr>
    <w:rPr>
      <w:rFonts w:cs="Calibri" w:cstheme="minorHAnsi"/>
      <w:szCs w:val="22"/>
    </w:rPr>
  </w:style>
  <w:style w:type="paragraph" w:styleId="NormalWeb">
    <w:name w:val="Normal (Web)"/>
    <w:basedOn w:val="Normal"/>
    <w:uiPriority w:val="99"/>
    <w:unhideWhenUsed/>
    <w:qFormat/>
    <w:rsid w:val="00067324"/>
    <w:pPr>
      <w:spacing w:lineRule="auto" w:line="240" w:beforeAutospacing="1" w:afterAutospacing="1"/>
    </w:pPr>
    <w:rPr>
      <w:rFonts w:ascii="Times New Roman" w:hAnsi="Times New Roman" w:eastAsia="Times New Roman" w:cs="Times New Roman"/>
      <w:sz w:val="24"/>
      <w:szCs w:val="24"/>
      <w:lang w:eastAsia="it-IT"/>
    </w:rPr>
  </w:style>
  <w:style w:type="paragraph" w:styleId="ListParagraph">
    <w:name w:val="List Paragraph"/>
    <w:basedOn w:val="Normal"/>
    <w:uiPriority w:val="34"/>
    <w:qFormat/>
    <w:rsid w:val="005601b4"/>
    <w:pPr>
      <w:spacing w:lineRule="auto" w:line="252" w:before="0" w:after="160"/>
      <w:ind w:left="720" w:hanging="0"/>
      <w:contextualSpacing/>
      <w:jc w:val="left"/>
    </w:pPr>
    <w:rPr>
      <w:rFonts w:eastAsia="Calibri" w:eastAsiaTheme="minorHAnsi"/>
      <w:color w:val="auto"/>
      <w:szCs w:val="22"/>
    </w:rPr>
  </w:style>
  <w:style w:type="paragraph" w:styleId="Annotationtext">
    <w:name w:val="annotation text"/>
    <w:basedOn w:val="Normal"/>
    <w:link w:val="TestocommentoCarattere"/>
    <w:unhideWhenUsed/>
    <w:qFormat/>
    <w:rsid w:val="005601b4"/>
    <w:pPr>
      <w:spacing w:lineRule="auto" w:line="240" w:before="0" w:after="160"/>
      <w:jc w:val="left"/>
    </w:pPr>
    <w:rPr>
      <w:color w:val="auto"/>
      <w:sz w:val="20"/>
      <w:szCs w:val="20"/>
      <w:lang w:eastAsia="it-IT"/>
    </w:rPr>
  </w:style>
  <w:style w:type="paragraph" w:styleId="BalloonText">
    <w:name w:val="Balloon Text"/>
    <w:basedOn w:val="Normal"/>
    <w:link w:val="TestofumettoCarattere"/>
    <w:unhideWhenUsed/>
    <w:qFormat/>
    <w:rsid w:val="00944b2e"/>
    <w:pPr>
      <w:spacing w:lineRule="auto" w:line="240" w:before="0" w:after="0"/>
    </w:pPr>
    <w:rPr>
      <w:rFonts w:ascii="Tahoma" w:hAnsi="Tahoma" w:cs="Tahoma"/>
      <w:sz w:val="16"/>
      <w:szCs w:val="16"/>
    </w:rPr>
  </w:style>
  <w:style w:type="paragraph" w:styleId="Revision">
    <w:name w:val="Revision"/>
    <w:uiPriority w:val="99"/>
    <w:qFormat/>
    <w:rsid w:val="00c31807"/>
    <w:pPr>
      <w:widowControl/>
      <w:suppressAutoHyphens w:val="true"/>
      <w:bidi w:val="0"/>
      <w:spacing w:lineRule="auto" w:line="240" w:before="0" w:after="0"/>
      <w:jc w:val="left"/>
    </w:pPr>
    <w:rPr>
      <w:rFonts w:ascii="Calibri" w:hAnsi="Calibri" w:eastAsia="" w:cs=""/>
      <w:color w:val="404040" w:themeColor="text1" w:themeTint="bf"/>
      <w:kern w:val="0"/>
      <w:sz w:val="22"/>
      <w:szCs w:val="21"/>
      <w:lang w:val="it-IT" w:eastAsia="en-US" w:bidi="ar-SA"/>
    </w:rPr>
  </w:style>
  <w:style w:type="paragraph" w:styleId="TestonotaapidipaginaTestonotaapidipaginaCarattereTestonotaapidipaginaCarattere1CarattereTestonotaapidipaginaCarattereCarattereCarattereTestonotaapidipaginaCarattere1CarattereCarattereCarattereCarattere" w:customStyle="1">
    <w:name w:val="Testo nota a piè di pagina;Testo nota a piè di pagina Carattere;Testo nota a piè di pagina Carattere1 Carattere;Testo nota a piè di pagina Carattere Carattere Carattere;Testo nota a piè di pagina Carattere1 Carattere Carattere Carattere;Carattere"/>
    <w:basedOn w:val="Normal"/>
    <w:qFormat/>
    <w:rsid w:val="000f434d"/>
    <w:pPr>
      <w:widowControl w:val="false"/>
      <w:suppressAutoHyphens w:val="true"/>
      <w:overflowPunct w:val="true"/>
      <w:spacing w:lineRule="atLeast" w:line="1" w:before="0" w:after="120"/>
      <w:ind w:left="567" w:hanging="567"/>
      <w:textAlignment w:val="top"/>
      <w:outlineLvl w:val="0"/>
    </w:pPr>
    <w:rPr>
      <w:rFonts w:ascii="Arial" w:hAnsi="Arial" w:eastAsia="Times New Roman" w:cs="Times New Roman"/>
      <w:color w:val="auto"/>
      <w:sz w:val="20"/>
      <w:szCs w:val="20"/>
      <w:vertAlign w:val="subscript"/>
      <w:lang w:eastAsia="it-IT"/>
    </w:rPr>
  </w:style>
  <w:style w:type="paragraph" w:styleId="Rientrocorpodeltesto">
    <w:name w:val="Body Text Indent"/>
    <w:basedOn w:val="Normal"/>
    <w:link w:val="RientrocorpodeltestoCarattere"/>
    <w:rsid w:val="000f434d"/>
    <w:pPr>
      <w:suppressAutoHyphens w:val="true"/>
      <w:spacing w:lineRule="auto" w:line="360" w:before="110" w:after="0"/>
      <w:ind w:left="-1" w:hanging="1"/>
      <w:textAlignment w:val="top"/>
      <w:outlineLvl w:val="0"/>
    </w:pPr>
    <w:rPr>
      <w:rFonts w:ascii="Times New Roman" w:hAnsi="Times New Roman" w:eastAsia="Times New Roman" w:cs="Times New Roman"/>
      <w:color w:val="auto"/>
      <w:sz w:val="24"/>
      <w:szCs w:val="24"/>
      <w:vertAlign w:val="subscript"/>
      <w:lang w:eastAsia="it-IT"/>
    </w:rPr>
  </w:style>
  <w:style w:type="paragraph" w:styleId="BodyText2">
    <w:name w:val="Body Text 2"/>
    <w:basedOn w:val="Normal"/>
    <w:link w:val="Corpodeltesto2Carattere"/>
    <w:qFormat/>
    <w:rsid w:val="000f434d"/>
    <w:pPr>
      <w:suppressAutoHyphens w:val="true"/>
      <w:spacing w:lineRule="atLeast" w:line="1" w:before="0" w:after="0"/>
      <w:ind w:left="-1" w:hanging="1"/>
      <w:jc w:val="left"/>
      <w:textAlignment w:val="top"/>
      <w:outlineLvl w:val="0"/>
    </w:pPr>
    <w:rPr>
      <w:rFonts w:ascii="Times New Roman" w:hAnsi="Times New Roman" w:eastAsia="Times New Roman" w:cs="Times New Roman"/>
      <w:color w:val="auto"/>
      <w:sz w:val="24"/>
      <w:szCs w:val="24"/>
      <w:vertAlign w:val="subscript"/>
      <w:lang w:eastAsia="it-IT"/>
    </w:rPr>
  </w:style>
  <w:style w:type="paragraph" w:styleId="BodyText3">
    <w:name w:val="Body Text 3"/>
    <w:basedOn w:val="Normal"/>
    <w:link w:val="Corpodeltesto3Carattere"/>
    <w:qFormat/>
    <w:rsid w:val="000f434d"/>
    <w:pPr>
      <w:widowControl w:val="false"/>
      <w:suppressAutoHyphens w:val="true"/>
      <w:overflowPunct w:val="true"/>
      <w:spacing w:lineRule="atLeast" w:line="1" w:before="0" w:after="120"/>
      <w:ind w:left="-1" w:hanging="1"/>
      <w:textAlignment w:val="top"/>
      <w:outlineLvl w:val="0"/>
    </w:pPr>
    <w:rPr>
      <w:rFonts w:ascii="Times New Roman" w:hAnsi="Times New Roman" w:eastAsia="Times New Roman" w:cs="Times New Roman"/>
      <w:color w:val="auto"/>
      <w:sz w:val="16"/>
      <w:szCs w:val="16"/>
      <w:vertAlign w:val="subscript"/>
      <w:lang w:eastAsia="it-IT"/>
    </w:rPr>
  </w:style>
  <w:style w:type="paragraph" w:styleId="BodyTextIndent2">
    <w:name w:val="Body Text Indent 2"/>
    <w:basedOn w:val="Normal"/>
    <w:link w:val="Rientrocorpodeltesto2Carattere"/>
    <w:qFormat/>
    <w:rsid w:val="000f434d"/>
    <w:pPr>
      <w:suppressAutoHyphens w:val="true"/>
      <w:spacing w:lineRule="auto" w:line="360" w:before="0" w:after="0"/>
      <w:ind w:left="360" w:hanging="1"/>
      <w:jc w:val="left"/>
      <w:textAlignment w:val="top"/>
      <w:outlineLvl w:val="0"/>
    </w:pPr>
    <w:rPr>
      <w:rFonts w:ascii="Times New Roman" w:hAnsi="Times New Roman" w:eastAsia="Times New Roman" w:cs="Times New Roman"/>
      <w:color w:val="auto"/>
      <w:sz w:val="24"/>
      <w:szCs w:val="24"/>
      <w:vertAlign w:val="subscript"/>
      <w:lang w:eastAsia="it-IT"/>
    </w:rPr>
  </w:style>
  <w:style w:type="paragraph" w:styleId="CPVC" w:customStyle="1">
    <w:name w:val="CPV_C"/>
    <w:qFormat/>
    <w:rsid w:val="000f434d"/>
    <w:pPr>
      <w:widowControl w:val="false"/>
      <w:tabs>
        <w:tab w:val="clear" w:pos="708"/>
        <w:tab w:val="left" w:pos="0" w:leader="none"/>
        <w:tab w:val="left" w:pos="1247" w:leader="none"/>
        <w:tab w:val="left" w:pos="3969" w:leader="none"/>
        <w:tab w:val="left" w:pos="4252" w:leader="none"/>
        <w:tab w:val="left" w:pos="11339" w:leader="none"/>
        <w:tab w:val="left" w:pos="28346" w:leader="none"/>
      </w:tabs>
      <w:suppressAutoHyphens w:val="true"/>
      <w:bidi w:val="0"/>
      <w:spacing w:lineRule="atLeast" w:line="25" w:before="260" w:after="85"/>
      <w:ind w:left="-1" w:hanging="1"/>
      <w:jc w:val="center"/>
      <w:textAlignment w:val="top"/>
      <w:outlineLvl w:val="0"/>
    </w:pPr>
    <w:rPr>
      <w:rFonts w:ascii="ItcCenturyLight" w:hAnsi="ItcCenturyLight" w:eastAsia="Times New Roman" w:cs="ItcCenturyLight"/>
      <w:color w:val="auto"/>
      <w:kern w:val="0"/>
      <w:sz w:val="24"/>
      <w:szCs w:val="24"/>
      <w:vertAlign w:val="subscript"/>
      <w:lang w:val="it-IT" w:eastAsia="it-IT" w:bidi="ar-SA"/>
    </w:rPr>
  </w:style>
  <w:style w:type="paragraph" w:styleId="CPVCcvo" w:customStyle="1">
    <w:name w:val="CPV_Ccvo"/>
    <w:qFormat/>
    <w:rsid w:val="000f434d"/>
    <w:pPr>
      <w:widowControl w:val="false"/>
      <w:tabs>
        <w:tab w:val="clear" w:pos="708"/>
        <w:tab w:val="left" w:pos="0" w:leader="none"/>
        <w:tab w:val="left" w:pos="1247" w:leader="none"/>
        <w:tab w:val="left" w:pos="3969" w:leader="none"/>
        <w:tab w:val="left" w:pos="4252" w:leader="none"/>
        <w:tab w:val="left" w:pos="11339" w:leader="none"/>
        <w:tab w:val="left" w:pos="28346" w:leader="none"/>
      </w:tabs>
      <w:suppressAutoHyphens w:val="true"/>
      <w:bidi w:val="0"/>
      <w:spacing w:lineRule="atLeast" w:line="25" w:before="260" w:after="85"/>
      <w:ind w:left="-1" w:hanging="1"/>
      <w:jc w:val="center"/>
      <w:textAlignment w:val="top"/>
      <w:outlineLvl w:val="0"/>
    </w:pPr>
    <w:rPr>
      <w:rFonts w:ascii="ItcCenturyLight" w:hAnsi="ItcCenturyLight" w:eastAsia="Times New Roman" w:cs="ItcCenturyLight"/>
      <w:i/>
      <w:iCs/>
      <w:color w:val="auto"/>
      <w:kern w:val="0"/>
      <w:sz w:val="24"/>
      <w:szCs w:val="24"/>
      <w:vertAlign w:val="subscript"/>
      <w:lang w:val="it-IT" w:eastAsia="it-IT" w:bidi="ar-SA"/>
    </w:rPr>
  </w:style>
  <w:style w:type="paragraph" w:styleId="LIV2" w:customStyle="1">
    <w:name w:val="LIV2"/>
    <w:qFormat/>
    <w:rsid w:val="000f434d"/>
    <w:pPr>
      <w:widowControl w:val="false"/>
      <w:tabs>
        <w:tab w:val="clear" w:pos="708"/>
        <w:tab w:val="left" w:pos="0" w:leader="none"/>
        <w:tab w:val="left" w:pos="1418" w:leader="none"/>
        <w:tab w:val="left" w:pos="2835" w:leader="none"/>
        <w:tab w:val="left" w:pos="4252" w:leader="none"/>
      </w:tabs>
      <w:suppressAutoHyphens w:val="true"/>
      <w:bidi w:val="0"/>
      <w:spacing w:lineRule="atLeast" w:line="12" w:before="444" w:after="171"/>
      <w:ind w:left="-1" w:hanging="1"/>
      <w:jc w:val="both"/>
      <w:textAlignment w:val="top"/>
      <w:outlineLvl w:val="0"/>
    </w:pPr>
    <w:rPr>
      <w:rFonts w:ascii="UniversExBlkExt" w:hAnsi="UniversExBlkExt" w:eastAsia="Times New Roman" w:cs="UniversExBlkExt"/>
      <w:b/>
      <w:bCs/>
      <w:color w:val="auto"/>
      <w:kern w:val="0"/>
      <w:sz w:val="16"/>
      <w:szCs w:val="16"/>
      <w:vertAlign w:val="subscript"/>
      <w:lang w:val="it-IT" w:eastAsia="it-IT" w:bidi="ar-SA"/>
    </w:rPr>
  </w:style>
  <w:style w:type="paragraph" w:styleId="Cpv" w:customStyle="1">
    <w:name w:val="cpv"/>
    <w:uiPriority w:val="99"/>
    <w:qFormat/>
    <w:rsid w:val="000f434d"/>
    <w:pPr>
      <w:widowControl w:val="false"/>
      <w:tabs>
        <w:tab w:val="clear" w:pos="708"/>
        <w:tab w:val="left" w:pos="0" w:leader="none"/>
        <w:tab w:val="left" w:pos="1418" w:leader="none"/>
        <w:tab w:val="left" w:pos="2835" w:leader="none"/>
        <w:tab w:val="left" w:pos="4252" w:leader="none"/>
      </w:tabs>
      <w:suppressAutoHyphens w:val="true"/>
      <w:bidi w:val="0"/>
      <w:spacing w:lineRule="atLeast" w:line="25" w:before="175" w:after="0"/>
      <w:ind w:left="-1" w:hanging="1"/>
      <w:jc w:val="both"/>
      <w:textAlignment w:val="top"/>
      <w:outlineLvl w:val="0"/>
    </w:pPr>
    <w:rPr>
      <w:rFonts w:ascii="ItcCenturyLight" w:hAnsi="ItcCenturyLight" w:eastAsia="Times New Roman" w:cs="ItcCenturyLight"/>
      <w:color w:val="auto"/>
      <w:kern w:val="0"/>
      <w:sz w:val="24"/>
      <w:szCs w:val="24"/>
      <w:vertAlign w:val="subscript"/>
      <w:lang w:val="it-IT" w:eastAsia="it-IT" w:bidi="ar-SA"/>
    </w:rPr>
  </w:style>
  <w:style w:type="paragraph" w:styleId="Liv1unita" w:customStyle="1">
    <w:name w:val="liv1_unita"/>
    <w:qFormat/>
    <w:rsid w:val="000f434d"/>
    <w:pPr>
      <w:widowControl w:val="false"/>
      <w:tabs>
        <w:tab w:val="clear" w:pos="708"/>
        <w:tab w:val="left" w:pos="469" w:leader="none"/>
        <w:tab w:val="left" w:pos="1887" w:leader="none"/>
        <w:tab w:val="left" w:pos="3304" w:leader="none"/>
        <w:tab w:val="left" w:pos="4721" w:leader="none"/>
      </w:tabs>
      <w:suppressAutoHyphens w:val="true"/>
      <w:bidi w:val="0"/>
      <w:spacing w:lineRule="atLeast" w:line="12" w:before="489" w:after="85"/>
      <w:ind w:left="469" w:hanging="469"/>
      <w:jc w:val="both"/>
      <w:textAlignment w:val="top"/>
      <w:outlineLvl w:val="0"/>
    </w:pPr>
    <w:rPr>
      <w:rFonts w:ascii="UniversExBlkExt" w:hAnsi="UniversExBlkExt" w:eastAsia="Times New Roman" w:cs="UniversExBlkExt"/>
      <w:b/>
      <w:bCs/>
      <w:color w:val="auto"/>
      <w:kern w:val="0"/>
      <w:sz w:val="16"/>
      <w:szCs w:val="16"/>
      <w:vertAlign w:val="subscript"/>
      <w:lang w:val="it-IT" w:eastAsia="it-IT" w:bidi="ar-SA"/>
    </w:rPr>
  </w:style>
  <w:style w:type="paragraph" w:styleId="Sottocpv1" w:customStyle="1">
    <w:name w:val="sottocpv1"/>
    <w:qFormat/>
    <w:rsid w:val="000f434d"/>
    <w:pPr>
      <w:widowControl w:val="false"/>
      <w:tabs>
        <w:tab w:val="clear" w:pos="708"/>
        <w:tab w:val="left" w:pos="341" w:leader="none"/>
        <w:tab w:val="left" w:pos="1759" w:leader="none"/>
        <w:tab w:val="left" w:pos="3176" w:leader="none"/>
        <w:tab w:val="left" w:pos="4593" w:leader="none"/>
      </w:tabs>
      <w:suppressAutoHyphens w:val="true"/>
      <w:bidi w:val="0"/>
      <w:spacing w:lineRule="atLeast" w:line="25" w:before="175" w:after="0"/>
      <w:ind w:left="341" w:hanging="341"/>
      <w:jc w:val="both"/>
      <w:textAlignment w:val="top"/>
      <w:outlineLvl w:val="0"/>
    </w:pPr>
    <w:rPr>
      <w:rFonts w:ascii="ItcCenturyLight" w:hAnsi="ItcCenturyLight" w:eastAsia="Times New Roman" w:cs="ItcCenturyLight"/>
      <w:color w:val="auto"/>
      <w:kern w:val="0"/>
      <w:sz w:val="24"/>
      <w:szCs w:val="24"/>
      <w:vertAlign w:val="subscript"/>
      <w:lang w:val="it-IT" w:eastAsia="it-IT" w:bidi="ar-SA"/>
    </w:rPr>
  </w:style>
  <w:style w:type="paragraph" w:styleId="Corpodeltesto21" w:customStyle="1">
    <w:name w:val="Corpo del testo 21"/>
    <w:basedOn w:val="Normal"/>
    <w:qFormat/>
    <w:rsid w:val="000f434d"/>
    <w:pPr>
      <w:widowControl w:val="false"/>
      <w:suppressAutoHyphens w:val="true"/>
      <w:overflowPunct w:val="true"/>
      <w:spacing w:lineRule="atLeast" w:line="1" w:before="0" w:after="120"/>
      <w:ind w:left="-1" w:hanging="1"/>
      <w:textAlignment w:val="top"/>
      <w:outlineLvl w:val="0"/>
    </w:pPr>
    <w:rPr>
      <w:rFonts w:ascii="Arial" w:hAnsi="Arial" w:eastAsia="Times New Roman" w:cs="Times New Roman"/>
      <w:b/>
      <w:i/>
      <w:color w:val="auto"/>
      <w:sz w:val="24"/>
      <w:szCs w:val="20"/>
      <w:vertAlign w:val="subscript"/>
      <w:lang w:eastAsia="it-IT"/>
    </w:rPr>
  </w:style>
  <w:style w:type="paragraph" w:styleId="Tabella" w:customStyle="1">
    <w:name w:val="tabella"/>
    <w:basedOn w:val="Titolo3"/>
    <w:qFormat/>
    <w:rsid w:val="000f434d"/>
    <w:pPr>
      <w:keepLines w:val="false"/>
      <w:numPr>
        <w:ilvl w:val="0"/>
        <w:numId w:val="0"/>
      </w:numPr>
      <w:suppressAutoHyphens w:val="true"/>
      <w:spacing w:lineRule="atLeast" w:line="1" w:before="0" w:after="0"/>
      <w:ind w:left="-1" w:hanging="1"/>
      <w:textAlignment w:val="top"/>
    </w:pPr>
    <w:rPr>
      <w:rFonts w:ascii="Cambria" w:hAnsi="Cambria" w:eastAsia="Times New Roman" w:cs="Times New Roman"/>
      <w:b w:val="false"/>
      <w:iCs/>
      <w:color w:val="auto"/>
      <w:sz w:val="18"/>
      <w:szCs w:val="18"/>
      <w:vertAlign w:val="subscript"/>
      <w:lang w:eastAsia="it-IT"/>
    </w:rPr>
  </w:style>
  <w:style w:type="paragraph" w:styleId="Tit2circ" w:customStyle="1">
    <w:name w:val="tit2-circ"/>
    <w:basedOn w:val="Normal"/>
    <w:qFormat/>
    <w:rsid w:val="000f434d"/>
    <w:pPr>
      <w:keepNext w:val="true"/>
      <w:suppressAutoHyphens w:val="true"/>
      <w:spacing w:lineRule="atLeast" w:line="1" w:before="360" w:after="100"/>
      <w:ind w:left="-1" w:right="108" w:hanging="1"/>
      <w:textAlignment w:val="top"/>
      <w:outlineLvl w:val="0"/>
    </w:pPr>
    <w:rPr>
      <w:rFonts w:ascii="Futura" w:hAnsi="Futura" w:eastAsia="Times New Roman" w:cs="Times New Roman"/>
      <w:b/>
      <w:caps/>
      <w:color w:val="auto"/>
      <w:sz w:val="20"/>
      <w:szCs w:val="20"/>
      <w:vertAlign w:val="subscript"/>
      <w:lang w:eastAsia="it-IT"/>
    </w:rPr>
  </w:style>
  <w:style w:type="paragraph" w:styleId="DocumentMap">
    <w:name w:val="Document Map"/>
    <w:basedOn w:val="Normal"/>
    <w:link w:val="MappadocumentoCarattere"/>
    <w:qFormat/>
    <w:rsid w:val="000f434d"/>
    <w:pPr>
      <w:shd w:val="clear" w:color="auto" w:fill="000080"/>
      <w:suppressAutoHyphens w:val="true"/>
      <w:spacing w:lineRule="atLeast" w:line="1" w:before="0" w:after="0"/>
      <w:ind w:left="-1" w:hanging="1"/>
      <w:jc w:val="left"/>
      <w:textAlignment w:val="top"/>
      <w:outlineLvl w:val="0"/>
    </w:pPr>
    <w:rPr>
      <w:rFonts w:ascii="Times New Roman" w:hAnsi="Times New Roman" w:eastAsia="Times New Roman" w:cs="Times New Roman"/>
      <w:color w:val="auto"/>
      <w:sz w:val="2"/>
      <w:szCs w:val="20"/>
      <w:vertAlign w:val="subscript"/>
      <w:lang w:eastAsia="it-IT"/>
    </w:rPr>
  </w:style>
  <w:style w:type="paragraph" w:styleId="Annotationsubject">
    <w:name w:val="annotation subject"/>
    <w:basedOn w:val="Annotationtext"/>
    <w:next w:val="Annotationtext"/>
    <w:link w:val="SoggettocommentoCarattere"/>
    <w:qFormat/>
    <w:rsid w:val="000f434d"/>
    <w:pPr>
      <w:suppressAutoHyphens w:val="true"/>
      <w:spacing w:lineRule="atLeast" w:line="1" w:before="0" w:after="0"/>
      <w:ind w:left="-1" w:hanging="1"/>
      <w:textAlignment w:val="top"/>
      <w:outlineLvl w:val="0"/>
    </w:pPr>
    <w:rPr>
      <w:rFonts w:ascii="Times New Roman" w:hAnsi="Times New Roman" w:eastAsia="Times New Roman" w:cs="Times New Roman"/>
      <w:b/>
      <w:bCs/>
      <w:vertAlign w:val="subscript"/>
    </w:rPr>
  </w:style>
  <w:style w:type="paragraph" w:styleId="Paragrafoelenco1" w:customStyle="1">
    <w:name w:val="Paragrafo elenco1"/>
    <w:basedOn w:val="Normal"/>
    <w:uiPriority w:val="99"/>
    <w:qFormat/>
    <w:rsid w:val="000f434d"/>
    <w:pPr>
      <w:suppressAutoHyphens w:val="true"/>
      <w:spacing w:lineRule="auto" w:line="276" w:before="0" w:after="200"/>
      <w:ind w:left="720" w:hanging="1"/>
      <w:contextualSpacing/>
      <w:jc w:val="left"/>
      <w:textAlignment w:val="top"/>
      <w:outlineLvl w:val="0"/>
    </w:pPr>
    <w:rPr>
      <w:rFonts w:ascii="Calibri" w:hAnsi="Calibri" w:eastAsia="Times New Roman" w:cs="Times New Roman"/>
      <w:color w:val="auto"/>
      <w:szCs w:val="22"/>
      <w:vertAlign w:val="subscript"/>
    </w:rPr>
  </w:style>
  <w:style w:type="paragraph" w:styleId="Contenutotabella" w:customStyle="1">
    <w:name w:val="Contenuto tabella"/>
    <w:basedOn w:val="Normal"/>
    <w:qFormat/>
    <w:rsid w:val="000f434d"/>
    <w:pPr>
      <w:widowControl w:val="false"/>
      <w:suppressAutoHyphens w:val="true"/>
      <w:spacing w:lineRule="atLeast" w:line="1" w:before="0" w:after="0"/>
      <w:ind w:left="-1" w:hanging="1"/>
      <w:jc w:val="left"/>
      <w:textAlignment w:val="top"/>
      <w:outlineLvl w:val="0"/>
    </w:pPr>
    <w:rPr>
      <w:rFonts w:ascii="Thorndale AMT" w:hAnsi="Thorndale AMT" w:eastAsia="Times New Roman" w:cs="Albany AMT"/>
      <w:color w:val="auto"/>
      <w:sz w:val="24"/>
      <w:szCs w:val="24"/>
      <w:vertAlign w:val="subscript"/>
      <w:lang w:eastAsia="it-IT"/>
    </w:rPr>
  </w:style>
  <w:style w:type="paragraph" w:styleId="Provvr0" w:customStyle="1">
    <w:name w:val="provv_r0"/>
    <w:basedOn w:val="Normal"/>
    <w:qFormat/>
    <w:rsid w:val="000f434d"/>
    <w:pPr>
      <w:suppressAutoHyphens w:val="true"/>
      <w:spacing w:lineRule="atLeast" w:line="1" w:beforeAutospacing="1" w:afterAutospacing="1"/>
      <w:ind w:left="-1" w:hanging="1"/>
      <w:textAlignment w:val="top"/>
      <w:outlineLvl w:val="0"/>
    </w:pPr>
    <w:rPr>
      <w:rFonts w:ascii="Times New Roman" w:hAnsi="Times New Roman" w:eastAsia="Times New Roman" w:cs="Times New Roman"/>
      <w:color w:val="auto"/>
      <w:sz w:val="24"/>
      <w:szCs w:val="24"/>
      <w:vertAlign w:val="subscript"/>
      <w:lang w:eastAsia="it-IT"/>
    </w:rPr>
  </w:style>
  <w:style w:type="paragraph" w:styleId="Index1">
    <w:name w:val="index 1"/>
    <w:basedOn w:val="Normal"/>
    <w:next w:val="Normal"/>
    <w:qFormat/>
    <w:rsid w:val="000f434d"/>
    <w:pPr>
      <w:suppressAutoHyphens w:val="true"/>
      <w:spacing w:lineRule="atLeast" w:line="1" w:before="0" w:after="0"/>
      <w:ind w:left="240" w:hanging="240"/>
      <w:jc w:val="left"/>
      <w:textAlignment w:val="top"/>
      <w:outlineLvl w:val="0"/>
    </w:pPr>
    <w:rPr>
      <w:rFonts w:ascii="Times New Roman" w:hAnsi="Times New Roman" w:eastAsia="Times New Roman" w:cs="Times New Roman"/>
      <w:color w:val="auto"/>
      <w:sz w:val="24"/>
      <w:szCs w:val="24"/>
      <w:vertAlign w:val="subscript"/>
      <w:lang w:eastAsia="it-IT"/>
    </w:rPr>
  </w:style>
  <w:style w:type="paragraph" w:styleId="Index2">
    <w:name w:val="index 2"/>
    <w:basedOn w:val="Normal"/>
    <w:next w:val="Normal"/>
    <w:qFormat/>
    <w:rsid w:val="000f434d"/>
    <w:pPr>
      <w:suppressAutoHyphens w:val="true"/>
      <w:spacing w:lineRule="atLeast" w:line="1" w:before="0" w:after="0"/>
      <w:ind w:left="480" w:hanging="240"/>
      <w:jc w:val="left"/>
      <w:textAlignment w:val="top"/>
      <w:outlineLvl w:val="0"/>
    </w:pPr>
    <w:rPr>
      <w:rFonts w:ascii="Times New Roman" w:hAnsi="Times New Roman" w:eastAsia="Times New Roman" w:cs="Times New Roman"/>
      <w:color w:val="auto"/>
      <w:sz w:val="24"/>
      <w:szCs w:val="24"/>
      <w:vertAlign w:val="subscript"/>
      <w:lang w:eastAsia="it-IT"/>
    </w:rPr>
  </w:style>
  <w:style w:type="paragraph" w:styleId="HTMLPreformatted">
    <w:name w:val="HTML Preformatted"/>
    <w:basedOn w:val="Normal"/>
    <w:link w:val="PreformattatoHTMLCarattere"/>
    <w:uiPriority w:val="99"/>
    <w:qFormat/>
    <w:rsid w:val="000f434d"/>
    <w:pPr>
      <w:suppressAutoHyphens w:val="true"/>
      <w:spacing w:lineRule="atLeast" w:line="1" w:before="0" w:after="0"/>
      <w:ind w:left="-1" w:hanging="1"/>
      <w:jc w:val="left"/>
      <w:textAlignment w:val="top"/>
      <w:outlineLvl w:val="0"/>
    </w:pPr>
    <w:rPr>
      <w:rFonts w:ascii="Courier New" w:hAnsi="Courier New" w:eastAsia="Times New Roman" w:cs="Times New Roman"/>
      <w:color w:val="auto"/>
      <w:sz w:val="20"/>
      <w:szCs w:val="20"/>
      <w:vertAlign w:val="subscript"/>
      <w:lang w:eastAsia="it-IT"/>
    </w:rPr>
  </w:style>
  <w:style w:type="paragraph" w:styleId="Paragrafoelenco4" w:customStyle="1">
    <w:name w:val="Paragrafo elenco4"/>
    <w:basedOn w:val="Normal"/>
    <w:qFormat/>
    <w:rsid w:val="000f434d"/>
    <w:pPr>
      <w:suppressAutoHyphens w:val="true"/>
      <w:spacing w:lineRule="atLeast" w:line="1" w:before="0" w:after="0"/>
      <w:ind w:left="720" w:hanging="1"/>
      <w:contextualSpacing/>
      <w:textAlignment w:val="top"/>
      <w:outlineLvl w:val="0"/>
    </w:pPr>
    <w:rPr>
      <w:rFonts w:ascii="Times New Roman" w:hAnsi="Times New Roman" w:eastAsia="Times New Roman" w:cs="Times New Roman"/>
      <w:color w:val="auto"/>
      <w:sz w:val="24"/>
      <w:szCs w:val="24"/>
      <w:vertAlign w:val="subscript"/>
      <w:lang w:eastAsia="it-IT"/>
    </w:rPr>
  </w:style>
  <w:style w:type="paragraph" w:styleId="BodyText21" w:customStyle="1">
    <w:name w:val="Body Text 21"/>
    <w:basedOn w:val="Normal"/>
    <w:uiPriority w:val="99"/>
    <w:qFormat/>
    <w:rsid w:val="000f434d"/>
    <w:pPr>
      <w:widowControl w:val="false"/>
      <w:suppressAutoHyphens w:val="true"/>
      <w:overflowPunct w:val="true"/>
      <w:spacing w:lineRule="atLeast" w:line="1" w:before="0" w:after="120"/>
      <w:ind w:left="-1" w:hanging="1"/>
      <w:textAlignment w:val="top"/>
      <w:outlineLvl w:val="0"/>
    </w:pPr>
    <w:rPr>
      <w:rFonts w:ascii="Arial" w:hAnsi="Arial" w:eastAsia="Times New Roman" w:cs="Times New Roman"/>
      <w:b/>
      <w:i/>
      <w:color w:val="auto"/>
      <w:sz w:val="24"/>
      <w:szCs w:val="20"/>
      <w:vertAlign w:val="subscript"/>
      <w:lang w:eastAsia="it-IT"/>
    </w:rPr>
  </w:style>
  <w:style w:type="paragraph" w:styleId="M6350291795918196642gmailmsolistparagraph" w:customStyle="1">
    <w:name w:val="m_-6350291795918196642gmail-msolistparagraph"/>
    <w:basedOn w:val="Normal"/>
    <w:qFormat/>
    <w:rsid w:val="000f434d"/>
    <w:pPr>
      <w:suppressAutoHyphens w:val="true"/>
      <w:spacing w:lineRule="atLeast" w:line="1" w:beforeAutospacing="1" w:afterAutospacing="1"/>
      <w:ind w:left="-1" w:hanging="1"/>
      <w:jc w:val="left"/>
      <w:textAlignment w:val="top"/>
      <w:outlineLvl w:val="0"/>
    </w:pPr>
    <w:rPr>
      <w:rFonts w:ascii="Times New Roman" w:hAnsi="Times New Roman" w:eastAsia="Times New Roman" w:cs="Times New Roman"/>
      <w:color w:val="auto"/>
      <w:sz w:val="24"/>
      <w:szCs w:val="24"/>
      <w:vertAlign w:val="subscript"/>
      <w:lang w:eastAsia="it-IT"/>
    </w:rPr>
  </w:style>
  <w:style w:type="paragraph" w:styleId="Xmsonormal" w:customStyle="1">
    <w:name w:val="x_msonormal"/>
    <w:basedOn w:val="Normal"/>
    <w:qFormat/>
    <w:rsid w:val="000f434d"/>
    <w:pPr>
      <w:suppressAutoHyphens w:val="true"/>
      <w:spacing w:lineRule="atLeast" w:line="1" w:beforeAutospacing="1" w:afterAutospacing="1"/>
      <w:ind w:left="-1" w:hanging="1"/>
      <w:jc w:val="left"/>
      <w:textAlignment w:val="top"/>
      <w:outlineLvl w:val="0"/>
    </w:pPr>
    <w:rPr>
      <w:rFonts w:ascii="Times New Roman" w:hAnsi="Times New Roman" w:eastAsia="Times New Roman" w:cs="Times New Roman"/>
      <w:color w:val="auto"/>
      <w:sz w:val="24"/>
      <w:szCs w:val="24"/>
      <w:vertAlign w:val="subscript"/>
      <w:lang w:eastAsia="it-IT"/>
    </w:rPr>
  </w:style>
  <w:style w:type="paragraph" w:styleId="TableParagraph" w:customStyle="1">
    <w:name w:val="Table Paragraph"/>
    <w:basedOn w:val="Normal"/>
    <w:qFormat/>
    <w:rsid w:val="000f434d"/>
    <w:pPr>
      <w:widowControl w:val="false"/>
      <w:suppressAutoHyphens w:val="true"/>
      <w:spacing w:lineRule="atLeast" w:line="1" w:before="0" w:after="0"/>
      <w:ind w:left="-1" w:hanging="1"/>
      <w:jc w:val="left"/>
      <w:textAlignment w:val="top"/>
      <w:outlineLvl w:val="0"/>
    </w:pPr>
    <w:rPr>
      <w:rFonts w:ascii="Book Antiqua" w:hAnsi="Book Antiqua" w:eastAsia="Book Antiqua" w:cs="Book Antiqua"/>
      <w:color w:val="auto"/>
      <w:szCs w:val="22"/>
      <w:vertAlign w:val="subscript"/>
      <w:lang w:eastAsia="it-IT" w:bidi="it-IT"/>
    </w:rPr>
  </w:style>
  <w:style w:type="paragraph" w:styleId="Premessa" w:customStyle="1">
    <w:name w:val="Premessa"/>
    <w:basedOn w:val="Normal"/>
    <w:qFormat/>
    <w:rsid w:val="004d3a15"/>
    <w:pPr>
      <w:widowControl w:val="false"/>
      <w:overflowPunct w:val="true"/>
      <w:spacing w:lineRule="auto" w:line="240" w:before="0" w:after="120"/>
      <w:textAlignment w:val="baseline"/>
    </w:pPr>
    <w:rPr>
      <w:rFonts w:ascii="Arial" w:hAnsi="Arial" w:eastAsia="Times New Roman" w:cs="Times New Roman"/>
      <w:i/>
      <w:color w:val="auto"/>
      <w:szCs w:val="20"/>
      <w:lang w:eastAsia="it-IT"/>
    </w:rPr>
  </w:style>
  <w:style w:type="paragraph" w:styleId="Corpodeltesto22" w:customStyle="1">
    <w:name w:val="Corpo del testo 22"/>
    <w:basedOn w:val="Normal"/>
    <w:qFormat/>
    <w:rsid w:val="004d3a15"/>
    <w:pPr>
      <w:widowControl w:val="false"/>
      <w:overflowPunct w:val="true"/>
      <w:spacing w:lineRule="auto" w:line="240" w:before="0" w:after="120"/>
      <w:textAlignment w:val="baseline"/>
    </w:pPr>
    <w:rPr>
      <w:rFonts w:ascii="Arial" w:hAnsi="Arial" w:eastAsia="Times New Roman" w:cs="Times New Roman"/>
      <w:b/>
      <w:color w:val="auto"/>
      <w:szCs w:val="20"/>
      <w:lang w:eastAsia="it-IT"/>
    </w:rPr>
  </w:style>
  <w:style w:type="paragraph" w:styleId="Corpodeltesto31" w:customStyle="1">
    <w:name w:val="Corpo del testo 31"/>
    <w:basedOn w:val="Normal"/>
    <w:qFormat/>
    <w:rsid w:val="004d3a15"/>
    <w:pPr>
      <w:widowControl w:val="false"/>
      <w:overflowPunct w:val="true"/>
      <w:spacing w:lineRule="auto" w:line="240" w:before="0" w:after="120"/>
      <w:jc w:val="center"/>
      <w:textAlignment w:val="baseline"/>
    </w:pPr>
    <w:rPr>
      <w:rFonts w:ascii="Arial" w:hAnsi="Arial" w:eastAsia="Times New Roman" w:cs="Times New Roman"/>
      <w:color w:val="00FF00"/>
      <w:szCs w:val="20"/>
      <w:lang w:eastAsia="it-IT"/>
    </w:rPr>
  </w:style>
  <w:style w:type="paragraph" w:styleId="ListBullet2">
    <w:name w:val="List Bullet 2"/>
    <w:basedOn w:val="Normal"/>
    <w:autoRedefine/>
    <w:qFormat/>
    <w:rsid w:val="004d3a15"/>
    <w:pPr>
      <w:numPr>
        <w:ilvl w:val="0"/>
        <w:numId w:val="6"/>
      </w:numPr>
      <w:spacing w:lineRule="auto" w:line="240" w:before="0" w:after="0"/>
      <w:jc w:val="left"/>
    </w:pPr>
    <w:rPr>
      <w:rFonts w:ascii="Times New Roman" w:hAnsi="Times New Roman" w:eastAsia="Times New Roman" w:cs="Times New Roman"/>
      <w:color w:val="auto"/>
      <w:sz w:val="24"/>
      <w:szCs w:val="24"/>
      <w:lang w:eastAsia="it-IT"/>
    </w:rPr>
  </w:style>
  <w:style w:type="paragraph" w:styleId="Level1" w:customStyle="1">
    <w:name w:val="level 1"/>
    <w:basedOn w:val="Normal"/>
    <w:qFormat/>
    <w:rsid w:val="004d3a15"/>
    <w:pPr>
      <w:tabs>
        <w:tab w:val="clear" w:pos="708"/>
        <w:tab w:val="right" w:pos="360" w:leader="none"/>
        <w:tab w:val="left" w:pos="576" w:leader="none"/>
      </w:tabs>
      <w:spacing w:lineRule="exact" w:line="220" w:before="0" w:after="120"/>
      <w:ind w:left="576" w:hanging="576"/>
    </w:pPr>
    <w:rPr>
      <w:rFonts w:ascii="Times New Roman" w:hAnsi="Times New Roman" w:eastAsia="Times New Roman" w:cs="Times New Roman"/>
      <w:color w:val="auto"/>
      <w:sz w:val="20"/>
      <w:szCs w:val="20"/>
      <w:lang w:val="en-US"/>
    </w:rPr>
  </w:style>
  <w:style w:type="paragraph" w:styleId="Tx" w:customStyle="1">
    <w:name w:val="tx"/>
    <w:basedOn w:val="Normal"/>
    <w:qFormat/>
    <w:rsid w:val="004d3a15"/>
    <w:pPr>
      <w:spacing w:lineRule="auto" w:line="240" w:before="20" w:after="20"/>
      <w:jc w:val="left"/>
    </w:pPr>
    <w:rPr>
      <w:rFonts w:ascii="Times New Roman" w:hAnsi="Times New Roman" w:eastAsia="Times New Roman" w:cs="Times New Roman"/>
      <w:color w:val="auto"/>
      <w:sz w:val="24"/>
      <w:szCs w:val="24"/>
      <w:lang w:eastAsia="it-IT"/>
    </w:rPr>
  </w:style>
  <w:style w:type="paragraph" w:styleId="Rgscorpodeltesto" w:customStyle="1">
    <w:name w:val="rgs_corpodeltesto"/>
    <w:basedOn w:val="Normal"/>
    <w:qFormat/>
    <w:rsid w:val="004d3a15"/>
    <w:pPr>
      <w:spacing w:lineRule="auto" w:line="360" w:before="0" w:after="120"/>
      <w:ind w:firstLine="799"/>
    </w:pPr>
    <w:rPr>
      <w:rFonts w:ascii="Times New Roman" w:hAnsi="Times New Roman" w:eastAsia="Times New Roman" w:cs="Times New Roman"/>
      <w:color w:val="auto"/>
      <w:sz w:val="24"/>
      <w:szCs w:val="20"/>
      <w:lang w:eastAsia="it-IT"/>
    </w:rPr>
  </w:style>
  <w:style w:type="paragraph" w:styleId="ListParagraph1" w:customStyle="1">
    <w:name w:val="List Paragraph1"/>
    <w:basedOn w:val="Normal"/>
    <w:qFormat/>
    <w:rsid w:val="004d3a15"/>
    <w:pPr>
      <w:spacing w:lineRule="auto" w:line="360" w:before="0" w:after="0"/>
      <w:ind w:left="720" w:hanging="0"/>
      <w:contextualSpacing/>
    </w:pPr>
    <w:rPr>
      <w:rFonts w:ascii="Verdana" w:hAnsi="Verdana" w:eastAsia="Times New Roman" w:cs="Times New Roman"/>
      <w:color w:val="auto"/>
      <w:sz w:val="20"/>
      <w:szCs w:val="20"/>
    </w:rPr>
  </w:style>
  <w:style w:type="paragraph" w:styleId="Latino10pt" w:customStyle="1">
    <w:name w:val="(Latino) 10 pt"/>
    <w:basedOn w:val="Normal"/>
    <w:qFormat/>
    <w:rsid w:val="004d3a15"/>
    <w:pPr>
      <w:suppressAutoHyphens w:val="true"/>
      <w:spacing w:lineRule="auto" w:line="360" w:before="0" w:after="0"/>
      <w:ind w:right="851" w:hanging="0"/>
    </w:pPr>
    <w:rPr>
      <w:rFonts w:ascii="Verdana" w:hAnsi="Verdana" w:eastAsia="Times New Roman" w:cs="Verdana"/>
      <w:color w:val="auto"/>
      <w:sz w:val="20"/>
      <w:szCs w:val="20"/>
      <w:lang w:eastAsia="ar-SA"/>
    </w:rPr>
  </w:style>
  <w:style w:type="paragraph" w:styleId="TB" w:customStyle="1">
    <w:name w:val="TB"/>
    <w:basedOn w:val="Normal"/>
    <w:qFormat/>
    <w:rsid w:val="004d3a15"/>
    <w:pPr>
      <w:widowControl w:val="false"/>
      <w:spacing w:lineRule="atLeast" w:line="200" w:before="0" w:after="0"/>
      <w:jc w:val="left"/>
      <w:textAlignment w:val="center"/>
    </w:pPr>
    <w:rPr>
      <w:rFonts w:ascii="Arial" w:hAnsi="Arial" w:eastAsia="Times New Roman" w:cs="ArialMT"/>
      <w:color w:val="000000"/>
      <w:sz w:val="17"/>
      <w:szCs w:val="17"/>
    </w:rPr>
  </w:style>
  <w:style w:type="paragraph" w:styleId="Font5" w:customStyle="1">
    <w:name w:val="font5"/>
    <w:basedOn w:val="Normal"/>
    <w:qFormat/>
    <w:rsid w:val="004d3a15"/>
    <w:pPr>
      <w:spacing w:lineRule="auto" w:line="240" w:before="100" w:after="100"/>
      <w:jc w:val="left"/>
    </w:pPr>
    <w:rPr>
      <w:rFonts w:ascii="Arial" w:hAnsi="Arial" w:eastAsia="Arial Unicode MS" w:cs="Times New Roman"/>
      <w:color w:val="auto"/>
      <w:sz w:val="24"/>
      <w:szCs w:val="20"/>
      <w:lang w:eastAsia="it-IT"/>
    </w:rPr>
  </w:style>
  <w:style w:type="paragraph" w:styleId="Abstract" w:customStyle="1">
    <w:name w:val="abstract"/>
    <w:basedOn w:val="Normal"/>
    <w:qFormat/>
    <w:rsid w:val="004d3a15"/>
    <w:pPr>
      <w:spacing w:lineRule="auto" w:line="240" w:beforeAutospacing="1" w:afterAutospacing="1"/>
      <w:jc w:val="left"/>
    </w:pPr>
    <w:rPr>
      <w:rFonts w:ascii="Times New Roman" w:hAnsi="Times New Roman" w:eastAsia="Times New Roman" w:cs="Times New Roman"/>
      <w:color w:val="auto"/>
      <w:sz w:val="24"/>
      <w:szCs w:val="24"/>
      <w:lang w:eastAsia="it-IT"/>
    </w:rPr>
  </w:style>
  <w:style w:type="paragraph" w:styleId="PlainText">
    <w:name w:val="Plain Text"/>
    <w:basedOn w:val="Normal"/>
    <w:link w:val="TestonormaleCarattere"/>
    <w:uiPriority w:val="99"/>
    <w:unhideWhenUsed/>
    <w:qFormat/>
    <w:rsid w:val="004d3a15"/>
    <w:pPr>
      <w:spacing w:lineRule="auto" w:line="240" w:before="0" w:after="0"/>
      <w:jc w:val="left"/>
    </w:pPr>
    <w:rPr>
      <w:rFonts w:ascii="Calibri" w:hAnsi="Calibri" w:eastAsia="Calibri" w:cs="Times New Roman"/>
      <w:color w:val="auto"/>
    </w:rPr>
  </w:style>
  <w:style w:type="paragraph" w:styleId="Ydp120d5380yiv8935915260msonormal" w:customStyle="1">
    <w:name w:val="ydp120d5380yiv8935915260msonormal"/>
    <w:basedOn w:val="Normal"/>
    <w:qFormat/>
    <w:rsid w:val="000c6639"/>
    <w:pPr>
      <w:spacing w:lineRule="auto" w:line="240" w:beforeAutospacing="1" w:afterAutospacing="1"/>
      <w:jc w:val="left"/>
    </w:pPr>
    <w:rPr>
      <w:rFonts w:ascii="Aptos" w:hAnsi="Aptos" w:eastAsia="Calibri" w:cs="Aptos" w:eastAsiaTheme="minorHAnsi"/>
      <w:color w:val="auto"/>
      <w:sz w:val="24"/>
      <w:szCs w:val="24"/>
      <w:lang w:eastAsia="it-IT"/>
    </w:rPr>
  </w:style>
  <w:style w:type="paragraph" w:styleId="Contenutocornice">
    <w:name w:val="Contenuto cornice"/>
    <w:basedOn w:val="Normal"/>
    <w:qFormat/>
    <w:pPr/>
    <w:rPr/>
  </w:style>
  <w:style w:type="paragraph" w:styleId="Titolotabella">
    <w:name w:val="Titolo tabella"/>
    <w:basedOn w:val="Contenutotabella"/>
    <w:qFormat/>
    <w:pPr>
      <w:suppressLineNumbers/>
      <w:jc w:val="center"/>
    </w:pPr>
    <w:rPr>
      <w:b/>
      <w:bCs/>
    </w:rPr>
  </w:style>
  <w:style w:type="paragraph" w:styleId="Corpodeltesto3">
    <w:name w:val="Corpo del testo 3"/>
    <w:basedOn w:val="Normal"/>
    <w:qFormat/>
    <w:pPr>
      <w:widowControl w:val="false"/>
      <w:overflowPunct w:val="false"/>
      <w:spacing w:before="0" w:after="120"/>
      <w:jc w:val="both"/>
    </w:pPr>
    <w:rPr>
      <w:sz w:val="16"/>
      <w:szCs w:val="16"/>
    </w:rPr>
  </w:style>
  <w:style w:type="numbering" w:styleId="NoList" w:default="1">
    <w:name w:val="No List"/>
    <w:uiPriority w:val="99"/>
    <w:semiHidden/>
    <w:unhideWhenUsed/>
    <w:qFormat/>
  </w:style>
  <w:style w:type="numbering" w:styleId="Elencocorrente1" w:customStyle="1">
    <w:name w:val="Elenco corrente1"/>
    <w:uiPriority w:val="99"/>
    <w:qFormat/>
    <w:rsid w:val="00067324"/>
  </w:style>
  <w:style w:type="numbering" w:styleId="Conlettere" w:customStyle="1">
    <w:name w:val="Con lettere"/>
    <w:qFormat/>
    <w:rsid w:val="000f434d"/>
  </w:style>
  <w:style w:type="numbering" w:styleId="Nessunelenco1" w:customStyle="1">
    <w:name w:val="Nessun elenco1"/>
    <w:uiPriority w:val="99"/>
    <w:semiHidden/>
    <w:unhideWhenUsed/>
    <w:qFormat/>
    <w:rsid w:val="004d3a15"/>
  </w:style>
  <w:style w:type="numbering" w:styleId="Conlettere1" w:customStyle="1">
    <w:name w:val="Con lettere1"/>
    <w:qFormat/>
    <w:rsid w:val="004d3a15"/>
  </w:style>
  <w:style w:type="numbering" w:styleId="Nessunelenco11" w:customStyle="1">
    <w:name w:val="Nessun elenco11"/>
    <w:uiPriority w:val="99"/>
    <w:semiHidden/>
    <w:unhideWhenUsed/>
    <w:qFormat/>
    <w:rsid w:val="004d3a15"/>
  </w:style>
  <w:style w:type="numbering" w:styleId="Stileimportato11" w:customStyle="1">
    <w:name w:val="Stile importato 11"/>
    <w:qFormat/>
    <w:rsid w:val="004d3a15"/>
  </w:style>
  <w:style w:type="numbering" w:styleId="Stileimportato10" w:customStyle="1">
    <w:name w:val="Stile importato 10"/>
    <w:qFormat/>
    <w:rsid w:val="004d3a15"/>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rsid w:val="000f434d"/>
    <w:pPr>
      <w:spacing w:after="0" w:line="240" w:lineRule="auto"/>
    </w:pPr>
    <w:rPr>
      <w:lang w:eastAsia="it-IT"/>
      <w:sz w:val="24"/>
      <w:szCs w:val="24"/>
    </w:rPr>
    <w:tblPr>
      <w:tblCellMar>
        <w:top w:w="0" w:type="dxa"/>
        <w:left w:w="0" w:type="dxa"/>
        <w:bottom w:w="0" w:type="dxa"/>
        <w:right w:w="0" w:type="dxa"/>
      </w:tblCellMar>
    </w:tblPr>
  </w:style>
  <w:style w:type="table" w:customStyle="1" w:styleId="TableNormal1">
    <w:name w:val="Table Normal1"/>
    <w:rsid w:val="000f434d"/>
    <w:pPr>
      <w:spacing w:after="0" w:line="240" w:lineRule="auto"/>
    </w:pPr>
    <w:rPr>
      <w:lang w:eastAsia="it-IT"/>
      <w:sz w:val="24"/>
      <w:szCs w:val="24"/>
    </w:rPr>
    <w:tblPr>
      <w:tblCellMar>
        <w:top w:w="0" w:type="dxa"/>
        <w:left w:w="0" w:type="dxa"/>
        <w:bottom w:w="0" w:type="dxa"/>
        <w:right w:w="0" w:type="dxa"/>
      </w:tblCellMar>
    </w:tblPr>
  </w:style>
  <w:style w:type="table" w:styleId="Grigliatabella">
    <w:name w:val="Table Grid"/>
    <w:basedOn w:val="Tabellanormale"/>
    <w:uiPriority w:val="39"/>
    <w:rsid w:val="000f434d"/>
    <w:pPr>
      <w:spacing w:after="0" w:line="1" w:lineRule="atLeast"/>
    </w:pPr>
    <w:rPr>
      <w:lang w:eastAsia="it-IT"/>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11"/>
    <w:basedOn w:val="TableNormal1"/>
    <w:rsid w:val="000f434d"/>
    <w:tblPr>
      <w:tblStyleRowBandSize w:val="1"/>
      <w:tblStyleColBandSize w:val="1"/>
      <w:tblCellMar>
        <w:left w:w="108" w:type="dxa"/>
        <w:right w:w="108" w:type="dxa"/>
      </w:tblCellMar>
    </w:tblPr>
  </w:style>
  <w:style w:type="table" w:customStyle="1" w:styleId="10">
    <w:name w:val="10"/>
    <w:basedOn w:val="TableNormal1"/>
    <w:rsid w:val="000f434d"/>
    <w:tblPr>
      <w:tblStyleRowBandSize w:val="1"/>
      <w:tblStyleColBandSize w:val="1"/>
      <w:tblCellMar>
        <w:top w:w="100" w:type="dxa"/>
        <w:left w:w="100" w:type="dxa"/>
        <w:bottom w:w="100" w:type="dxa"/>
        <w:right w:w="100" w:type="dxa"/>
      </w:tblCellMar>
    </w:tblPr>
  </w:style>
  <w:style w:type="table" w:customStyle="1" w:styleId="9">
    <w:name w:val="9"/>
    <w:basedOn w:val="TableNormal1"/>
    <w:rsid w:val="000f434d"/>
    <w:tblPr>
      <w:tblStyleRowBandSize w:val="1"/>
      <w:tblStyleColBandSize w:val="1"/>
      <w:tblCellMar>
        <w:top w:w="100" w:type="dxa"/>
        <w:left w:w="100" w:type="dxa"/>
        <w:bottom w:w="100" w:type="dxa"/>
        <w:right w:w="100" w:type="dxa"/>
      </w:tblCellMar>
    </w:tblPr>
  </w:style>
  <w:style w:type="table" w:customStyle="1" w:styleId="8">
    <w:name w:val="8"/>
    <w:basedOn w:val="TableNormal1"/>
    <w:rsid w:val="000f434d"/>
    <w:tblPr>
      <w:tblStyleRowBandSize w:val="1"/>
      <w:tblStyleColBandSize w:val="1"/>
      <w:tblCellMar>
        <w:left w:w="70" w:type="dxa"/>
        <w:right w:w="70" w:type="dxa"/>
      </w:tblCellMar>
    </w:tblPr>
  </w:style>
  <w:style w:type="table" w:customStyle="1" w:styleId="7">
    <w:name w:val="7"/>
    <w:basedOn w:val="TableNormal1"/>
    <w:rsid w:val="000f434d"/>
    <w:tblPr>
      <w:tblStyleRowBandSize w:val="1"/>
      <w:tblStyleColBandSize w:val="1"/>
      <w:tblCellMar>
        <w:left w:w="70" w:type="dxa"/>
        <w:right w:w="70" w:type="dxa"/>
      </w:tblCellMar>
    </w:tblPr>
  </w:style>
  <w:style w:type="table" w:customStyle="1" w:styleId="6">
    <w:name w:val="6"/>
    <w:basedOn w:val="TableNormal1"/>
    <w:rsid w:val="000f434d"/>
    <w:tblPr>
      <w:tblStyleRowBandSize w:val="1"/>
      <w:tblStyleColBandSize w:val="1"/>
      <w:tblCellMar>
        <w:top w:w="100" w:type="dxa"/>
        <w:left w:w="100" w:type="dxa"/>
        <w:bottom w:w="100" w:type="dxa"/>
        <w:right w:w="100" w:type="dxa"/>
      </w:tblCellMar>
    </w:tblPr>
  </w:style>
  <w:style w:type="table" w:customStyle="1" w:styleId="5">
    <w:name w:val="5"/>
    <w:basedOn w:val="TableNormal1"/>
    <w:rsid w:val="000f434d"/>
    <w:tblPr>
      <w:tblStyleRowBandSize w:val="1"/>
      <w:tblStyleColBandSize w:val="1"/>
      <w:tblCellMar>
        <w:top w:w="100" w:type="dxa"/>
        <w:left w:w="100" w:type="dxa"/>
        <w:bottom w:w="100" w:type="dxa"/>
        <w:right w:w="100" w:type="dxa"/>
      </w:tblCellMar>
    </w:tblPr>
  </w:style>
  <w:style w:type="table" w:customStyle="1" w:styleId="4">
    <w:name w:val="4"/>
    <w:basedOn w:val="TableNormal1"/>
    <w:rsid w:val="000f434d"/>
    <w:tblPr>
      <w:tblStyleRowBandSize w:val="1"/>
      <w:tblStyleColBandSize w:val="1"/>
      <w:tblCellMar>
        <w:top w:w="100" w:type="dxa"/>
        <w:left w:w="100" w:type="dxa"/>
        <w:bottom w:w="100" w:type="dxa"/>
        <w:right w:w="100" w:type="dxa"/>
      </w:tblCellMar>
    </w:tblPr>
  </w:style>
  <w:style w:type="table" w:customStyle="1" w:styleId="3">
    <w:name w:val="3"/>
    <w:basedOn w:val="TableNormal1"/>
    <w:rsid w:val="000f434d"/>
    <w:tblPr>
      <w:tblStyleRowBandSize w:val="1"/>
      <w:tblStyleColBandSize w:val="1"/>
      <w:tblCellMar>
        <w:top w:w="100" w:type="dxa"/>
        <w:left w:w="100" w:type="dxa"/>
        <w:bottom w:w="100" w:type="dxa"/>
        <w:right w:w="100" w:type="dxa"/>
      </w:tblCellMar>
    </w:tblPr>
  </w:style>
  <w:style w:type="table" w:customStyle="1" w:styleId="2">
    <w:name w:val="2"/>
    <w:basedOn w:val="TableNormal1"/>
    <w:rsid w:val="000f434d"/>
    <w:tblPr>
      <w:tblStyleRowBandSize w:val="1"/>
      <w:tblStyleColBandSize w:val="1"/>
      <w:tblCellMar>
        <w:top w:w="100" w:type="dxa"/>
        <w:left w:w="100" w:type="dxa"/>
        <w:bottom w:w="100" w:type="dxa"/>
        <w:right w:w="100" w:type="dxa"/>
      </w:tblCellMar>
    </w:tblPr>
  </w:style>
  <w:style w:type="table" w:customStyle="1" w:styleId="1">
    <w:name w:val="1"/>
    <w:basedOn w:val="TableNormal1"/>
    <w:rsid w:val="000f434d"/>
    <w:tblPr>
      <w:tblStyleRowBandSize w:val="1"/>
      <w:tblStyleColBandSize w:val="1"/>
      <w:tblCellMar>
        <w:top w:w="100" w:type="dxa"/>
        <w:left w:w="100" w:type="dxa"/>
        <w:bottom w:w="100" w:type="dxa"/>
        <w:right w:w="100" w:type="dxa"/>
      </w:tblCellMar>
    </w:tblPr>
  </w:style>
  <w:style w:type="table" w:customStyle="1" w:styleId="Grigliatabella1">
    <w:name w:val="Griglia tabella1"/>
    <w:basedOn w:val="Tabellanormale"/>
    <w:uiPriority w:val="39"/>
    <w:rsid w:val="000f434d"/>
    <w:pPr>
      <w:spacing w:after="0" w:line="240"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gliatabella2">
    <w:name w:val="Griglia tabella2"/>
    <w:basedOn w:val="Tabellanormale"/>
    <w:uiPriority w:val="39"/>
    <w:rsid w:val="000f434d"/>
    <w:pPr>
      <w:spacing w:after="0" w:line="240"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gliatabella3">
    <w:name w:val="Griglia tabella3"/>
    <w:basedOn w:val="Tabellanormale"/>
    <w:uiPriority w:val="39"/>
    <w:rsid w:val="004d3a15"/>
    <w:pPr>
      <w:spacing w:after="0" w:line="1" w:lineRule="atLeast"/>
    </w:pPr>
    <w:rPr>
      <w:lang w:eastAsia="it-IT"/>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gliatabella31">
    <w:name w:val="Griglia tabella31"/>
    <w:basedOn w:val="Tabellanormale"/>
    <w:rsid w:val="004d3a15"/>
    <w:pPr>
      <w:spacing w:after="120" w:line="240" w:lineRule="auto"/>
      <w:jc w:val="both"/>
    </w:pPr>
    <w:rPr>
      <w:lang w:eastAsia="it-IT"/>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2">
    <w:name w:val="Table Normal2"/>
    <w:rsid w:val="004d3a15"/>
    <w:pPr>
      <w:spacing w:after="0" w:line="240" w:lineRule="auto"/>
    </w:pPr>
    <w:rPr>
      <w:lang w:eastAsia="it-IT"/>
      <w:sz w:val="20"/>
      <w:szCs w:val="20"/>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hyperlink" Target="../../RENDICONTO%202023/REVISORI/PARERE%20DEFINITIVO/2" TargetMode="External"/><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header" Target="header3.xml"/><Relationship Id="rId25" Type="http://schemas.openxmlformats.org/officeDocument/2006/relationships/footer" Target="footer2.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Relationship Id="rId30"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0F16C-294D-4566-BAA6-BE85F7431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1094</TotalTime>
  <Application>LibreOffice/7.4.7.2$Windows_X86_64 LibreOffice_project/723314e595e8007d3cf785c16538505a1c878ca5</Application>
  <AppVersion>15.0000</AppVersion>
  <Pages>52</Pages>
  <Words>8412</Words>
  <Characters>50282</Characters>
  <CharactersWithSpaces>57761</CharactersWithSpaces>
  <Paragraphs>1321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2025-03-27T15:11:00Z</dcterms:created>
  <dc:creator>Sergio D'Elia</dc:creator>
  <dc:description/>
  <dc:language>it-IT</dc:language>
  <cp:lastModifiedBy/>
  <cp:lastPrinted>2025-04-01T11:31:44Z</cp:lastPrinted>
  <dcterms:modified xsi:type="dcterms:W3CDTF">2025-04-02T15:42:44Z</dcterms:modified>
  <cp:revision>116</cp:revision>
  <dc:subject/>
  <dc:title/>
</cp:coreProperties>
</file>

<file path=docProps/custom.xml><?xml version="1.0" encoding="utf-8"?>
<Properties xmlns="http://schemas.openxmlformats.org/officeDocument/2006/custom-properties" xmlns:vt="http://schemas.openxmlformats.org/officeDocument/2006/docPropsVTypes"/>
</file>